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495C1501" w14:textId="77777777" w:rsidR="00E4496C" w:rsidRPr="009546E7" w:rsidRDefault="00E4496C" w:rsidP="00E4496C">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6C9EAADE" w14:textId="77777777" w:rsidR="00E4496C" w:rsidRPr="009546E7" w:rsidRDefault="00E4496C" w:rsidP="00E4496C">
      <w:pPr>
        <w:spacing w:after="0"/>
        <w:jc w:val="both"/>
        <w:rPr>
          <w:sz w:val="20"/>
          <w:szCs w:val="20"/>
        </w:rPr>
      </w:pPr>
    </w:p>
    <w:p w14:paraId="6BF9EAA8" w14:textId="01A298F9" w:rsidR="00C00E51" w:rsidRDefault="00E4496C" w:rsidP="00E4496C">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20F3F704" w14:textId="77777777" w:rsidR="00C26DF7" w:rsidRDefault="00C26DF7"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4C5E3947" w:rsidR="00E60F03" w:rsidRPr="009546E7" w:rsidRDefault="00C26DF7" w:rsidP="00E60F03">
      <w:pPr>
        <w:pStyle w:val="Prrafodelista"/>
        <w:spacing w:after="0"/>
        <w:ind w:left="360"/>
        <w:rPr>
          <w:sz w:val="20"/>
          <w:szCs w:val="20"/>
        </w:rPr>
      </w:pPr>
      <w:r w:rsidRPr="00C26DF7">
        <w:rPr>
          <w:sz w:val="20"/>
          <w:szCs w:val="20"/>
        </w:rPr>
        <w:t>Tasa de no respuesta después de imputación a nivel unidad de observación</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70CF6090"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C26DF7">
        <w:rPr>
          <w:sz w:val="20"/>
          <w:szCs w:val="20"/>
        </w:rPr>
        <w:t>5</w:t>
      </w:r>
      <w:r w:rsidRPr="00E60F03">
        <w:rPr>
          <w:sz w:val="20"/>
          <w:szCs w:val="20"/>
        </w:rPr>
        <w:t>/20</w:t>
      </w:r>
      <w:r w:rsidR="00C26DF7">
        <w:rPr>
          <w:sz w:val="20"/>
          <w:szCs w:val="20"/>
        </w:rPr>
        <w:t>21</w:t>
      </w:r>
      <w:r w:rsidRPr="00E60F03">
        <w:rPr>
          <w:sz w:val="20"/>
          <w:szCs w:val="20"/>
        </w:rPr>
        <w:t xml:space="preserve"> en la </w:t>
      </w:r>
      <w:r w:rsidR="00C26DF7">
        <w:rPr>
          <w:sz w:val="20"/>
          <w:szCs w:val="20"/>
        </w:rPr>
        <w:t>cuarta</w:t>
      </w:r>
      <w:r w:rsidRPr="00E60F03">
        <w:rPr>
          <w:sz w:val="20"/>
          <w:szCs w:val="20"/>
        </w:rPr>
        <w:t xml:space="preserve"> sesión del 20</w:t>
      </w:r>
      <w:r w:rsidR="00C26DF7">
        <w:rPr>
          <w:sz w:val="20"/>
          <w:szCs w:val="20"/>
        </w:rPr>
        <w:t>21</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7566A30A" w14:textId="753717DB" w:rsidR="00C26DF7" w:rsidRDefault="00C26DF7" w:rsidP="00C26DF7">
      <w:pPr>
        <w:pStyle w:val="Prrafodelista"/>
        <w:spacing w:after="0"/>
        <w:ind w:left="360"/>
        <w:jc w:val="both"/>
        <w:rPr>
          <w:sz w:val="20"/>
          <w:szCs w:val="20"/>
        </w:rPr>
      </w:pPr>
      <w:r w:rsidRPr="00C26DF7">
        <w:rPr>
          <w:sz w:val="20"/>
          <w:szCs w:val="20"/>
        </w:rPr>
        <w:t>Se calculará y reportará para todos los pro</w:t>
      </w:r>
      <w:r>
        <w:rPr>
          <w:sz w:val="20"/>
          <w:szCs w:val="20"/>
        </w:rPr>
        <w:t>cesos de producción</w:t>
      </w:r>
      <w:r w:rsidRPr="00C26DF7">
        <w:rPr>
          <w:sz w:val="20"/>
          <w:szCs w:val="20"/>
        </w:rPr>
        <w:t xml:space="preserve"> cuyo método de generación son censos:</w:t>
      </w:r>
    </w:p>
    <w:p w14:paraId="24590EDE" w14:textId="77777777" w:rsidR="00C26DF7" w:rsidRPr="00C26DF7" w:rsidRDefault="00C26DF7" w:rsidP="00C26DF7">
      <w:pPr>
        <w:pStyle w:val="Prrafodelista"/>
        <w:spacing w:after="0"/>
        <w:ind w:left="360"/>
        <w:jc w:val="both"/>
        <w:rPr>
          <w:sz w:val="20"/>
          <w:szCs w:val="20"/>
        </w:rPr>
      </w:pPr>
    </w:p>
    <w:p w14:paraId="7D89A8E5" w14:textId="3CF6D16F" w:rsidR="00C26DF7" w:rsidRPr="00C26DF7" w:rsidRDefault="00C26DF7" w:rsidP="00C26DF7">
      <w:pPr>
        <w:pStyle w:val="Prrafodelista"/>
        <w:spacing w:after="0"/>
        <w:ind w:left="360"/>
        <w:jc w:val="both"/>
        <w:rPr>
          <w:sz w:val="20"/>
          <w:szCs w:val="20"/>
        </w:rPr>
      </w:pPr>
      <w:r w:rsidRPr="00C26DF7">
        <w:rPr>
          <w:sz w:val="20"/>
          <w:szCs w:val="20"/>
        </w:rPr>
        <w:t xml:space="preserve">a) Se reportará </w:t>
      </w:r>
      <w:proofErr w:type="gramStart"/>
      <w:r w:rsidRPr="00C26DF7">
        <w:rPr>
          <w:sz w:val="20"/>
          <w:szCs w:val="20"/>
        </w:rPr>
        <w:t>de acuerdo al</w:t>
      </w:r>
      <w:proofErr w:type="gramEnd"/>
      <w:r w:rsidRPr="00C26DF7">
        <w:rPr>
          <w:sz w:val="20"/>
          <w:szCs w:val="20"/>
        </w:rPr>
        <w:t xml:space="preserve"> calendario de difusión a partir del siguiente día de su aprobación,</w:t>
      </w:r>
    </w:p>
    <w:p w14:paraId="2521598C" w14:textId="140D27DB" w:rsidR="00C26DF7" w:rsidRPr="00C26DF7" w:rsidRDefault="00C26DF7" w:rsidP="00C26DF7">
      <w:pPr>
        <w:pStyle w:val="Prrafodelista"/>
        <w:spacing w:after="0"/>
        <w:ind w:left="360"/>
        <w:jc w:val="both"/>
        <w:rPr>
          <w:sz w:val="20"/>
          <w:szCs w:val="20"/>
        </w:rPr>
      </w:pPr>
      <w:r w:rsidRPr="00C26DF7">
        <w:rPr>
          <w:sz w:val="20"/>
          <w:szCs w:val="20"/>
        </w:rPr>
        <w:t xml:space="preserve">b) </w:t>
      </w:r>
      <w:r>
        <w:rPr>
          <w:sz w:val="20"/>
          <w:szCs w:val="20"/>
        </w:rPr>
        <w:t>E</w:t>
      </w:r>
      <w:r w:rsidRPr="00C26DF7">
        <w:rPr>
          <w:sz w:val="20"/>
          <w:szCs w:val="20"/>
        </w:rPr>
        <w:t xml:space="preserve">l reporte se realizará en metadatos a más tardar a los 30 días naturales contados a partir de la publicación del </w:t>
      </w:r>
      <w:r w:rsidR="002C45D4">
        <w:rPr>
          <w:sz w:val="20"/>
          <w:szCs w:val="20"/>
        </w:rPr>
        <w:t>p</w:t>
      </w:r>
      <w:r w:rsidRPr="00C26DF7">
        <w:rPr>
          <w:sz w:val="20"/>
          <w:szCs w:val="20"/>
        </w:rPr>
        <w:t>ro</w:t>
      </w:r>
      <w:r>
        <w:rPr>
          <w:sz w:val="20"/>
          <w:szCs w:val="20"/>
        </w:rPr>
        <w:t xml:space="preserve">ceso de </w:t>
      </w:r>
      <w:r w:rsidR="002C45D4">
        <w:rPr>
          <w:sz w:val="20"/>
          <w:szCs w:val="20"/>
        </w:rPr>
        <w:t>p</w:t>
      </w:r>
      <w:r>
        <w:rPr>
          <w:sz w:val="20"/>
          <w:szCs w:val="20"/>
        </w:rPr>
        <w:t>roducción</w:t>
      </w:r>
      <w:r w:rsidRPr="00C26DF7">
        <w:rPr>
          <w:sz w:val="20"/>
          <w:szCs w:val="20"/>
        </w:rPr>
        <w:t>,</w:t>
      </w:r>
    </w:p>
    <w:p w14:paraId="29F11320" w14:textId="4F883618" w:rsidR="00E60F03" w:rsidRDefault="00C26DF7" w:rsidP="00C26DF7">
      <w:pPr>
        <w:pStyle w:val="Prrafodelista"/>
        <w:spacing w:after="0"/>
        <w:ind w:left="360"/>
        <w:jc w:val="both"/>
        <w:rPr>
          <w:sz w:val="20"/>
          <w:szCs w:val="20"/>
        </w:rPr>
      </w:pPr>
      <w:r w:rsidRPr="00C26DF7">
        <w:rPr>
          <w:sz w:val="20"/>
          <w:szCs w:val="20"/>
        </w:rPr>
        <w:t xml:space="preserve">c) </w:t>
      </w:r>
      <w:r>
        <w:rPr>
          <w:sz w:val="20"/>
          <w:szCs w:val="20"/>
        </w:rPr>
        <w:t>S</w:t>
      </w:r>
      <w:r w:rsidRPr="00C26DF7">
        <w:rPr>
          <w:sz w:val="20"/>
          <w:szCs w:val="20"/>
        </w:rPr>
        <w:t>e deberá usar el formato definido por el Grupo de Trabajo.</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3D6F11A4" w14:textId="77777777" w:rsidR="00C26DF7" w:rsidRDefault="00C26DF7" w:rsidP="00C26DF7">
      <w:pPr>
        <w:pStyle w:val="Prrafodelista"/>
        <w:spacing w:after="0"/>
        <w:ind w:left="360"/>
        <w:rPr>
          <w:sz w:val="20"/>
          <w:szCs w:val="20"/>
        </w:rPr>
      </w:pPr>
      <w:r w:rsidRPr="00C26DF7">
        <w:rPr>
          <w:sz w:val="20"/>
          <w:szCs w:val="20"/>
        </w:rPr>
        <w:t xml:space="preserve">El uso del indicador es combinado. </w:t>
      </w:r>
    </w:p>
    <w:p w14:paraId="6FB35767" w14:textId="77777777" w:rsidR="00C26DF7" w:rsidRDefault="00C26DF7" w:rsidP="00C26DF7">
      <w:pPr>
        <w:pStyle w:val="Prrafodelista"/>
        <w:spacing w:after="0"/>
        <w:ind w:left="360"/>
        <w:rPr>
          <w:sz w:val="20"/>
          <w:szCs w:val="20"/>
        </w:rPr>
      </w:pPr>
    </w:p>
    <w:p w14:paraId="310E86BC" w14:textId="77777777" w:rsidR="00C26DF7" w:rsidRDefault="00C26DF7" w:rsidP="00C26DF7">
      <w:pPr>
        <w:pStyle w:val="Prrafodelista"/>
        <w:spacing w:after="0"/>
        <w:ind w:left="360"/>
        <w:jc w:val="both"/>
        <w:rPr>
          <w:sz w:val="20"/>
          <w:szCs w:val="20"/>
        </w:rPr>
      </w:pPr>
      <w:r w:rsidRPr="00C26DF7">
        <w:rPr>
          <w:sz w:val="20"/>
          <w:szCs w:val="20"/>
        </w:rPr>
        <w:t xml:space="preserve">De uso interno puede servir para la planeación de tareas operativas que permitan la reducción de la no respuesta y para analizar la conveniencia de usar métodos de imputación para presentar la información a publicar. </w:t>
      </w:r>
    </w:p>
    <w:p w14:paraId="4477F3D0" w14:textId="77777777" w:rsidR="00C26DF7" w:rsidRDefault="00C26DF7" w:rsidP="00C26DF7">
      <w:pPr>
        <w:pStyle w:val="Prrafodelista"/>
        <w:spacing w:after="0"/>
        <w:ind w:left="360"/>
        <w:jc w:val="both"/>
        <w:rPr>
          <w:sz w:val="20"/>
          <w:szCs w:val="20"/>
        </w:rPr>
      </w:pPr>
    </w:p>
    <w:p w14:paraId="228FE2B2" w14:textId="1553A1EE" w:rsidR="00C26DF7" w:rsidRPr="00C26DF7" w:rsidRDefault="00C26DF7" w:rsidP="00C26DF7">
      <w:pPr>
        <w:pStyle w:val="Prrafodelista"/>
        <w:spacing w:after="0"/>
        <w:ind w:left="360"/>
        <w:jc w:val="both"/>
        <w:rPr>
          <w:sz w:val="20"/>
          <w:szCs w:val="20"/>
        </w:rPr>
      </w:pPr>
      <w:r w:rsidRPr="00C26DF7">
        <w:rPr>
          <w:sz w:val="20"/>
          <w:szCs w:val="20"/>
        </w:rPr>
        <w:t>De uso externo para tomar las precauciones necesarias al usar la información en caso de la presencia de patrones que pudieran indicar la existencia de un sesgo a causa de la no respuesta. La tasa de no respuesta se debe reportar a diferentes niveles de desagregación para que los usuarios de la información puedan estudiar la existencia del posible sesgo y, en caso de existir, tomar las precauciones necesarias al usar la información o bien usar metodologías que permitan mitigar el impacto.</w:t>
      </w:r>
    </w:p>
    <w:p w14:paraId="04F87DF7" w14:textId="77777777" w:rsidR="00C26DF7" w:rsidRPr="00C26DF7" w:rsidRDefault="00C26DF7" w:rsidP="00C26DF7">
      <w:pPr>
        <w:pStyle w:val="Prrafodelista"/>
        <w:spacing w:after="0"/>
        <w:ind w:left="360"/>
        <w:rPr>
          <w:sz w:val="20"/>
          <w:szCs w:val="20"/>
        </w:rPr>
      </w:pPr>
    </w:p>
    <w:p w14:paraId="0AA08F63" w14:textId="05F1AC70" w:rsidR="009935FA" w:rsidRDefault="00C26DF7" w:rsidP="00C26DF7">
      <w:pPr>
        <w:pStyle w:val="Prrafodelista"/>
        <w:spacing w:after="0"/>
        <w:ind w:left="360"/>
        <w:rPr>
          <w:b/>
          <w:bCs/>
          <w:sz w:val="20"/>
          <w:szCs w:val="20"/>
        </w:rPr>
      </w:pPr>
      <w:r w:rsidRPr="00C26DF7">
        <w:rPr>
          <w:sz w:val="20"/>
          <w:szCs w:val="20"/>
        </w:rPr>
        <w:lastRenderedPageBreak/>
        <w:t>Se propone que en un principio este indicador sólo sea de uso interno.</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551C97CC" w14:textId="5CF6F501" w:rsidR="00335E4E" w:rsidRDefault="00C26DF7" w:rsidP="009935FA">
      <w:pPr>
        <w:pStyle w:val="Prrafodelista"/>
        <w:numPr>
          <w:ilvl w:val="0"/>
          <w:numId w:val="10"/>
        </w:numPr>
        <w:spacing w:after="0"/>
        <w:ind w:left="851"/>
        <w:rPr>
          <w:sz w:val="20"/>
          <w:szCs w:val="20"/>
        </w:rPr>
      </w:pPr>
      <w:r>
        <w:rPr>
          <w:sz w:val="20"/>
          <w:szCs w:val="20"/>
        </w:rPr>
        <w:t>Eurostat</w:t>
      </w:r>
      <w:r w:rsidR="009935FA">
        <w:rPr>
          <w:sz w:val="20"/>
          <w:szCs w:val="20"/>
        </w:rPr>
        <w:t>.</w:t>
      </w:r>
      <w:r>
        <w:rPr>
          <w:sz w:val="20"/>
          <w:szCs w:val="20"/>
        </w:rPr>
        <w:t xml:space="preserve"> </w:t>
      </w:r>
      <w:r w:rsidRPr="00C26DF7">
        <w:rPr>
          <w:sz w:val="20"/>
          <w:szCs w:val="20"/>
        </w:rPr>
        <w:t>ESS handbook for quality reports. 2014. Páginas 124-125.</w:t>
      </w:r>
      <w:r>
        <w:rPr>
          <w:sz w:val="20"/>
          <w:szCs w:val="20"/>
        </w:rPr>
        <w:t xml:space="preserve"> </w:t>
      </w:r>
    </w:p>
    <w:p w14:paraId="7907F463" w14:textId="0118AFC5" w:rsidR="00C26DF7" w:rsidRDefault="00C26DF7" w:rsidP="00C26DF7">
      <w:pPr>
        <w:pStyle w:val="Prrafodelista"/>
        <w:spacing w:after="0"/>
        <w:ind w:left="851"/>
        <w:rPr>
          <w:sz w:val="20"/>
          <w:szCs w:val="20"/>
        </w:rPr>
      </w:pPr>
      <w:hyperlink r:id="rId5" w:history="1">
        <w:r w:rsidRPr="00D6088F">
          <w:rPr>
            <w:rStyle w:val="Hipervnculo"/>
            <w:sz w:val="20"/>
            <w:szCs w:val="20"/>
          </w:rPr>
          <w:t>http://ec.europa.eu/eurostat/documents/3859598/6651706/KS-GQ-15-003-EN-N.pdf</w:t>
        </w:r>
      </w:hyperlink>
      <w:r>
        <w:rPr>
          <w:sz w:val="20"/>
          <w:szCs w:val="20"/>
        </w:rPr>
        <w:t xml:space="preserve"> </w:t>
      </w:r>
    </w:p>
    <w:p w14:paraId="0F0DD2D4" w14:textId="3588F44F" w:rsidR="009935FA" w:rsidRDefault="00C26DF7" w:rsidP="009935FA">
      <w:pPr>
        <w:pStyle w:val="Prrafodelista"/>
        <w:numPr>
          <w:ilvl w:val="0"/>
          <w:numId w:val="10"/>
        </w:numPr>
        <w:spacing w:after="0"/>
        <w:ind w:left="851"/>
        <w:rPr>
          <w:sz w:val="20"/>
          <w:szCs w:val="20"/>
        </w:rPr>
      </w:pPr>
      <w:r w:rsidRPr="00C26DF7">
        <w:rPr>
          <w:sz w:val="20"/>
          <w:szCs w:val="20"/>
        </w:rPr>
        <w:t>Eurostat</w:t>
      </w:r>
      <w:r w:rsidR="009935FA">
        <w:rPr>
          <w:sz w:val="20"/>
          <w:szCs w:val="20"/>
        </w:rPr>
        <w:t>.</w:t>
      </w:r>
      <w:r>
        <w:rPr>
          <w:sz w:val="20"/>
          <w:szCs w:val="20"/>
        </w:rPr>
        <w:t xml:space="preserve"> </w:t>
      </w:r>
      <w:r w:rsidRPr="00C26DF7">
        <w:rPr>
          <w:sz w:val="20"/>
          <w:szCs w:val="20"/>
        </w:rPr>
        <w:t>ESS guidelines for the implementation of the ess quality and performance indicators (QPI). Página 10</w:t>
      </w:r>
      <w:r>
        <w:rPr>
          <w:sz w:val="20"/>
          <w:szCs w:val="20"/>
        </w:rPr>
        <w:t xml:space="preserve">. </w:t>
      </w:r>
    </w:p>
    <w:p w14:paraId="4BBA3CC4" w14:textId="706DDD75" w:rsidR="00C26DF7" w:rsidRDefault="00C26DF7" w:rsidP="00C26DF7">
      <w:pPr>
        <w:pStyle w:val="Prrafodelista"/>
        <w:spacing w:after="0"/>
        <w:ind w:left="851"/>
        <w:rPr>
          <w:sz w:val="20"/>
          <w:szCs w:val="20"/>
        </w:rPr>
      </w:pPr>
      <w:hyperlink r:id="rId6" w:history="1">
        <w:r w:rsidRPr="00D6088F">
          <w:rPr>
            <w:rStyle w:val="Hipervnculo"/>
            <w:sz w:val="20"/>
            <w:szCs w:val="20"/>
          </w:rPr>
          <w:t>https://ec.europa.eu/eurostat/documents/64157/4373903/02-ESS-Quality-and-performance-Indicators-2014.pdf/5c996003-b770-4a7c-9c2f-bf733e6b1f31</w:t>
        </w:r>
      </w:hyperlink>
      <w:r>
        <w:rPr>
          <w:sz w:val="20"/>
          <w:szCs w:val="20"/>
        </w:rPr>
        <w:t xml:space="preserve"> </w:t>
      </w:r>
    </w:p>
    <w:p w14:paraId="5A86C7CE" w14:textId="7BC5FFAC" w:rsidR="009935FA" w:rsidRDefault="00C26DF7" w:rsidP="00220DB0">
      <w:pPr>
        <w:pStyle w:val="Prrafodelista"/>
        <w:numPr>
          <w:ilvl w:val="0"/>
          <w:numId w:val="10"/>
        </w:numPr>
        <w:spacing w:after="0"/>
        <w:ind w:left="851"/>
        <w:rPr>
          <w:sz w:val="20"/>
          <w:szCs w:val="20"/>
        </w:rPr>
      </w:pPr>
      <w:r w:rsidRPr="00C26DF7">
        <w:rPr>
          <w:sz w:val="20"/>
          <w:szCs w:val="20"/>
        </w:rPr>
        <w:t>United Nations Economic Commission for Europe (UNECE)</w:t>
      </w:r>
      <w:r w:rsidR="009935FA" w:rsidRPr="00C26DF7">
        <w:rPr>
          <w:sz w:val="20"/>
          <w:szCs w:val="20"/>
        </w:rPr>
        <w:t>.</w:t>
      </w:r>
      <w:r w:rsidRPr="00C26DF7">
        <w:rPr>
          <w:sz w:val="20"/>
          <w:szCs w:val="20"/>
        </w:rPr>
        <w:t xml:space="preserve"> Quality Indicators for the Generic Statistical Business</w:t>
      </w:r>
      <w:r>
        <w:rPr>
          <w:sz w:val="20"/>
          <w:szCs w:val="20"/>
        </w:rPr>
        <w:t xml:space="preserve">. </w:t>
      </w:r>
      <w:r w:rsidRPr="00C26DF7">
        <w:rPr>
          <w:sz w:val="20"/>
          <w:szCs w:val="20"/>
        </w:rPr>
        <w:t>Process Model (GSBPM) - For Statistics derived from Surveys and Administrative Data Sources. 2017.</w:t>
      </w:r>
    </w:p>
    <w:p w14:paraId="3535B74E" w14:textId="4EE9E6C1" w:rsidR="00C26DF7" w:rsidRDefault="00220DB0" w:rsidP="00220DB0">
      <w:pPr>
        <w:pStyle w:val="Prrafodelista"/>
        <w:spacing w:after="0"/>
        <w:ind w:left="851"/>
        <w:rPr>
          <w:sz w:val="20"/>
          <w:szCs w:val="20"/>
        </w:rPr>
      </w:pPr>
      <w:hyperlink r:id="rId7" w:history="1">
        <w:r w:rsidRPr="00D6088F">
          <w:rPr>
            <w:rStyle w:val="Hipervnculo"/>
            <w:sz w:val="20"/>
            <w:szCs w:val="20"/>
          </w:rPr>
          <w:t>https://statswiki.unece.org/download/attachments/185794796/Quality%20Indicators%20for%20the%20GSBPM%20-%20For%20Statistics%20derived%20from%20Surveys%20and%20Administrative%20Data%20Sources_Final.pdf?api=v2</w:t>
        </w:r>
      </w:hyperlink>
      <w:r>
        <w:rPr>
          <w:sz w:val="20"/>
          <w:szCs w:val="20"/>
        </w:rPr>
        <w:t xml:space="preserve"> </w:t>
      </w:r>
    </w:p>
    <w:p w14:paraId="60287DBB" w14:textId="0F9782FA" w:rsidR="00C26DF7" w:rsidRDefault="00220DB0" w:rsidP="00220DB0">
      <w:pPr>
        <w:pStyle w:val="Prrafodelista"/>
        <w:numPr>
          <w:ilvl w:val="0"/>
          <w:numId w:val="10"/>
        </w:numPr>
        <w:spacing w:after="0"/>
        <w:ind w:left="851" w:hanging="284"/>
        <w:rPr>
          <w:sz w:val="20"/>
          <w:szCs w:val="20"/>
        </w:rPr>
      </w:pPr>
      <w:r w:rsidRPr="00220DB0">
        <w:rPr>
          <w:sz w:val="20"/>
          <w:szCs w:val="20"/>
        </w:rPr>
        <w:t>Comisión Económica para América Latina y el Caribe (CEPAL)</w:t>
      </w:r>
      <w:r>
        <w:rPr>
          <w:sz w:val="20"/>
          <w:szCs w:val="20"/>
        </w:rPr>
        <w:t xml:space="preserve">. </w:t>
      </w:r>
      <w:r w:rsidRPr="00220DB0">
        <w:rPr>
          <w:sz w:val="20"/>
          <w:szCs w:val="20"/>
        </w:rPr>
        <w:t>Propuesta indicadores globales de calidad censal (IG). Anexo 8</w:t>
      </w:r>
      <w:r>
        <w:rPr>
          <w:sz w:val="20"/>
          <w:szCs w:val="20"/>
        </w:rPr>
        <w:t xml:space="preserve">. </w:t>
      </w:r>
    </w:p>
    <w:p w14:paraId="05CA25CB" w14:textId="07881243" w:rsidR="00220DB0" w:rsidRDefault="00220DB0" w:rsidP="00220DB0">
      <w:pPr>
        <w:pStyle w:val="Prrafodelista"/>
        <w:spacing w:after="0"/>
        <w:ind w:left="1134" w:hanging="284"/>
        <w:rPr>
          <w:sz w:val="20"/>
          <w:szCs w:val="20"/>
        </w:rPr>
      </w:pPr>
      <w:hyperlink r:id="rId8" w:history="1">
        <w:r w:rsidRPr="00D6088F">
          <w:rPr>
            <w:rStyle w:val="Hipervnculo"/>
            <w:sz w:val="20"/>
            <w:szCs w:val="20"/>
          </w:rPr>
          <w:t>https://www.cepal.org/es/publicaciones/5515-guia-asegurar-la-calidad-datos-censales</w:t>
        </w:r>
      </w:hyperlink>
      <w:r>
        <w:rPr>
          <w:sz w:val="20"/>
          <w:szCs w:val="20"/>
        </w:rPr>
        <w:t xml:space="preserve"> </w:t>
      </w:r>
    </w:p>
    <w:p w14:paraId="56733572" w14:textId="77777777" w:rsidR="00C26DF7" w:rsidRPr="00C26DF7" w:rsidRDefault="00C26DF7" w:rsidP="00C26DF7">
      <w:pPr>
        <w:pStyle w:val="Prrafodelista"/>
        <w:spacing w:after="0"/>
        <w:ind w:left="1080"/>
        <w:rPr>
          <w:sz w:val="20"/>
          <w:szCs w:val="20"/>
        </w:rPr>
      </w:pPr>
    </w:p>
    <w:p w14:paraId="3407AC9B" w14:textId="77777777" w:rsidR="009935FA" w:rsidRPr="00E60F03" w:rsidRDefault="009935FA" w:rsidP="00E60F03">
      <w:pPr>
        <w:pStyle w:val="Prrafodelista"/>
        <w:spacing w:after="0"/>
        <w:ind w:left="360"/>
        <w:rPr>
          <w:sz w:val="20"/>
          <w:szCs w:val="20"/>
        </w:rPr>
      </w:pPr>
    </w:p>
    <w:p w14:paraId="5E2D69CE" w14:textId="328BB366" w:rsidR="00E60F03" w:rsidRDefault="00D45BF8"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652767DF"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220DB0">
        <w:rPr>
          <w:sz w:val="20"/>
          <w:szCs w:val="20"/>
        </w:rPr>
        <w:t>censos</w:t>
      </w:r>
      <w:r w:rsidRPr="00A50F8D">
        <w:rPr>
          <w:sz w:val="20"/>
          <w:szCs w:val="20"/>
        </w:rPr>
        <w:t>.</w:t>
      </w:r>
    </w:p>
    <w:p w14:paraId="27212629" w14:textId="71D92EEB" w:rsidR="00464252" w:rsidRPr="00464252" w:rsidRDefault="00220DB0" w:rsidP="00A50F8D">
      <w:pPr>
        <w:pStyle w:val="Prrafodelista"/>
        <w:spacing w:after="0"/>
        <w:ind w:left="360"/>
        <w:rPr>
          <w:sz w:val="20"/>
          <w:szCs w:val="20"/>
        </w:rPr>
      </w:pPr>
      <w:r w:rsidRPr="00220DB0">
        <w:rPr>
          <w:sz w:val="20"/>
          <w:szCs w:val="20"/>
        </w:rPr>
        <w:t>Nuria Torroja Mateu</w:t>
      </w:r>
      <w:r w:rsidR="00464252" w:rsidRPr="00464252">
        <w:rPr>
          <w:sz w:val="20"/>
          <w:szCs w:val="20"/>
        </w:rPr>
        <w:t xml:space="preserve">, </w:t>
      </w:r>
      <w:r>
        <w:rPr>
          <w:sz w:val="20"/>
          <w:szCs w:val="20"/>
        </w:rPr>
        <w:t>d</w:t>
      </w:r>
      <w:r w:rsidRPr="00220DB0">
        <w:rPr>
          <w:sz w:val="20"/>
          <w:szCs w:val="20"/>
        </w:rPr>
        <w:t>irectora de Aseguramiento de la Calidad</w:t>
      </w:r>
      <w:r w:rsidR="00464252" w:rsidRPr="00464252">
        <w:rPr>
          <w:sz w:val="20"/>
          <w:szCs w:val="20"/>
        </w:rPr>
        <w:t>.</w:t>
      </w:r>
      <w:r>
        <w:rPr>
          <w:sz w:val="20"/>
          <w:szCs w:val="20"/>
        </w:rPr>
        <w:t xml:space="preserve"> DGIAI.</w:t>
      </w:r>
    </w:p>
    <w:p w14:paraId="70B001BA" w14:textId="747F4111" w:rsidR="00464252" w:rsidRPr="00464252" w:rsidRDefault="00220DB0" w:rsidP="00E60F03">
      <w:pPr>
        <w:pStyle w:val="Prrafodelista"/>
        <w:spacing w:after="0"/>
        <w:ind w:left="360"/>
        <w:rPr>
          <w:sz w:val="20"/>
          <w:szCs w:val="20"/>
        </w:rPr>
      </w:pPr>
      <w:r w:rsidRPr="00220DB0">
        <w:rPr>
          <w:sz w:val="20"/>
          <w:szCs w:val="20"/>
        </w:rPr>
        <w:t>Gerardo Barragán Romero</w:t>
      </w:r>
      <w:r w:rsidR="00464252" w:rsidRPr="00464252">
        <w:rPr>
          <w:sz w:val="20"/>
          <w:szCs w:val="20"/>
        </w:rPr>
        <w:t xml:space="preserve">, </w:t>
      </w:r>
      <w:r>
        <w:rPr>
          <w:sz w:val="20"/>
          <w:szCs w:val="20"/>
        </w:rPr>
        <w:t>s</w:t>
      </w:r>
      <w:r w:rsidRPr="00220DB0">
        <w:rPr>
          <w:sz w:val="20"/>
          <w:szCs w:val="20"/>
        </w:rPr>
        <w:t>ubdirector de evaluación de la calidad</w:t>
      </w:r>
      <w:r w:rsidR="00464252" w:rsidRPr="00464252">
        <w:rPr>
          <w:sz w:val="20"/>
          <w:szCs w:val="20"/>
        </w:rPr>
        <w:t>.</w:t>
      </w:r>
      <w:r>
        <w:rPr>
          <w:sz w:val="20"/>
          <w:szCs w:val="20"/>
        </w:rPr>
        <w:t xml:space="preserve"> DGIAI.</w:t>
      </w:r>
    </w:p>
    <w:p w14:paraId="6C8EA146" w14:textId="10899B19" w:rsidR="00464252" w:rsidRDefault="00220DB0" w:rsidP="00A50F8D">
      <w:pPr>
        <w:pStyle w:val="Prrafodelista"/>
        <w:spacing w:after="0"/>
        <w:ind w:left="360"/>
        <w:rPr>
          <w:sz w:val="20"/>
          <w:szCs w:val="20"/>
        </w:rPr>
      </w:pPr>
      <w:r w:rsidRPr="00220DB0">
        <w:rPr>
          <w:sz w:val="20"/>
          <w:szCs w:val="20"/>
        </w:rPr>
        <w:t>Carole Odette Schmitz Basañez</w:t>
      </w:r>
      <w:r>
        <w:rPr>
          <w:sz w:val="20"/>
          <w:szCs w:val="20"/>
        </w:rPr>
        <w:t>, d</w:t>
      </w:r>
      <w:r w:rsidRPr="00220DB0">
        <w:rPr>
          <w:sz w:val="20"/>
          <w:szCs w:val="20"/>
        </w:rPr>
        <w:t xml:space="preserve">irectora </w:t>
      </w:r>
      <w:r>
        <w:rPr>
          <w:sz w:val="20"/>
          <w:szCs w:val="20"/>
        </w:rPr>
        <w:t>g</w:t>
      </w:r>
      <w:r w:rsidRPr="00220DB0">
        <w:rPr>
          <w:sz w:val="20"/>
          <w:szCs w:val="20"/>
        </w:rPr>
        <w:t xml:space="preserve">eneral </w:t>
      </w:r>
      <w:r>
        <w:rPr>
          <w:sz w:val="20"/>
          <w:szCs w:val="20"/>
        </w:rPr>
        <w:t>a</w:t>
      </w:r>
      <w:r w:rsidRPr="00220DB0">
        <w:rPr>
          <w:sz w:val="20"/>
          <w:szCs w:val="20"/>
        </w:rPr>
        <w:t>djunta del Censo de Población y Vivienda</w:t>
      </w:r>
      <w:r w:rsidR="00464252" w:rsidRPr="00464252">
        <w:rPr>
          <w:sz w:val="20"/>
          <w:szCs w:val="20"/>
        </w:rPr>
        <w:t>.</w:t>
      </w:r>
      <w:r>
        <w:rPr>
          <w:sz w:val="20"/>
          <w:szCs w:val="20"/>
        </w:rPr>
        <w:t xml:space="preserve"> DGES.</w:t>
      </w:r>
    </w:p>
    <w:p w14:paraId="3877D5AE" w14:textId="56408558" w:rsidR="00A50F8D" w:rsidRDefault="00220DB0" w:rsidP="00A50F8D">
      <w:pPr>
        <w:pStyle w:val="Prrafodelista"/>
        <w:spacing w:after="0"/>
        <w:ind w:left="360"/>
        <w:rPr>
          <w:sz w:val="20"/>
          <w:szCs w:val="20"/>
        </w:rPr>
      </w:pPr>
      <w:r w:rsidRPr="00220DB0">
        <w:rPr>
          <w:sz w:val="20"/>
          <w:szCs w:val="20"/>
        </w:rPr>
        <w:t>Susana Patricia P</w:t>
      </w:r>
      <w:r>
        <w:rPr>
          <w:sz w:val="20"/>
          <w:szCs w:val="20"/>
        </w:rPr>
        <w:t>é</w:t>
      </w:r>
      <w:r w:rsidRPr="00220DB0">
        <w:rPr>
          <w:sz w:val="20"/>
          <w:szCs w:val="20"/>
        </w:rPr>
        <w:t>r</w:t>
      </w:r>
      <w:r>
        <w:rPr>
          <w:sz w:val="20"/>
          <w:szCs w:val="20"/>
        </w:rPr>
        <w:t>e</w:t>
      </w:r>
      <w:r w:rsidRPr="00220DB0">
        <w:rPr>
          <w:sz w:val="20"/>
          <w:szCs w:val="20"/>
        </w:rPr>
        <w:t>z Cadena</w:t>
      </w:r>
      <w:r>
        <w:rPr>
          <w:sz w:val="20"/>
          <w:szCs w:val="20"/>
        </w:rPr>
        <w:t>, d</w:t>
      </w:r>
      <w:r w:rsidRPr="00220DB0">
        <w:rPr>
          <w:sz w:val="20"/>
          <w:szCs w:val="20"/>
        </w:rPr>
        <w:t xml:space="preserve">irectora </w:t>
      </w:r>
      <w:r>
        <w:rPr>
          <w:sz w:val="20"/>
          <w:szCs w:val="20"/>
        </w:rPr>
        <w:t>g</w:t>
      </w:r>
      <w:r w:rsidRPr="00220DB0">
        <w:rPr>
          <w:sz w:val="20"/>
          <w:szCs w:val="20"/>
        </w:rPr>
        <w:t xml:space="preserve">eneral </w:t>
      </w:r>
      <w:r>
        <w:rPr>
          <w:sz w:val="20"/>
          <w:szCs w:val="20"/>
        </w:rPr>
        <w:t>a</w:t>
      </w:r>
      <w:r w:rsidRPr="00220DB0">
        <w:rPr>
          <w:sz w:val="20"/>
          <w:szCs w:val="20"/>
        </w:rPr>
        <w:t>djunta de Censos Económicos y Agropecuar</w:t>
      </w:r>
      <w:r>
        <w:rPr>
          <w:sz w:val="20"/>
          <w:szCs w:val="20"/>
        </w:rPr>
        <w:t>i</w:t>
      </w:r>
      <w:r w:rsidRPr="00220DB0">
        <w:rPr>
          <w:sz w:val="20"/>
          <w:szCs w:val="20"/>
        </w:rPr>
        <w:t>os</w:t>
      </w:r>
      <w:r w:rsidR="00A50F8D">
        <w:rPr>
          <w:sz w:val="20"/>
          <w:szCs w:val="20"/>
        </w:rPr>
        <w:t>.</w:t>
      </w:r>
      <w:r>
        <w:rPr>
          <w:sz w:val="20"/>
          <w:szCs w:val="20"/>
        </w:rPr>
        <w:t xml:space="preserve"> DGEE.</w:t>
      </w:r>
    </w:p>
    <w:p w14:paraId="06891234" w14:textId="289AE4DA" w:rsidR="00E60F03" w:rsidRDefault="00220DB0" w:rsidP="00E60F03">
      <w:pPr>
        <w:pStyle w:val="Prrafodelista"/>
        <w:spacing w:after="0"/>
        <w:ind w:left="360"/>
        <w:rPr>
          <w:sz w:val="20"/>
          <w:szCs w:val="20"/>
        </w:rPr>
      </w:pPr>
      <w:r w:rsidRPr="00220DB0">
        <w:rPr>
          <w:sz w:val="20"/>
          <w:szCs w:val="20"/>
        </w:rPr>
        <w:t>José Guillermo Castillo Koschnick</w:t>
      </w:r>
      <w:r>
        <w:rPr>
          <w:sz w:val="20"/>
          <w:szCs w:val="20"/>
        </w:rPr>
        <w:t>, d</w:t>
      </w:r>
      <w:r w:rsidRPr="00220DB0">
        <w:rPr>
          <w:sz w:val="20"/>
          <w:szCs w:val="20"/>
        </w:rPr>
        <w:t xml:space="preserve">irector </w:t>
      </w:r>
      <w:r>
        <w:rPr>
          <w:sz w:val="20"/>
          <w:szCs w:val="20"/>
        </w:rPr>
        <w:t>g</w:t>
      </w:r>
      <w:r w:rsidRPr="00220DB0">
        <w:rPr>
          <w:sz w:val="20"/>
          <w:szCs w:val="20"/>
        </w:rPr>
        <w:t xml:space="preserve">eneral </w:t>
      </w:r>
      <w:r>
        <w:rPr>
          <w:sz w:val="20"/>
          <w:szCs w:val="20"/>
        </w:rPr>
        <w:t>a</w:t>
      </w:r>
      <w:r w:rsidRPr="00220DB0">
        <w:rPr>
          <w:sz w:val="20"/>
          <w:szCs w:val="20"/>
        </w:rPr>
        <w:t>djunto de Políticas y Censos Nacionales de Gobierno</w:t>
      </w:r>
      <w:r>
        <w:rPr>
          <w:sz w:val="20"/>
          <w:szCs w:val="20"/>
        </w:rPr>
        <w:t xml:space="preserve">. </w:t>
      </w:r>
      <w:r w:rsidR="00723301" w:rsidRPr="00723301">
        <w:rPr>
          <w:sz w:val="20"/>
          <w:szCs w:val="20"/>
        </w:rPr>
        <w:t>DGEGSPyJ</w:t>
      </w:r>
      <w:r w:rsidR="00723301">
        <w:rPr>
          <w:sz w:val="20"/>
          <w:szCs w:val="20"/>
        </w:rPr>
        <w:t>.</w:t>
      </w:r>
    </w:p>
    <w:p w14:paraId="1457BF2B" w14:textId="77777777" w:rsidR="00723301" w:rsidRDefault="00723301"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E184C82" w14:textId="7AEF95B8" w:rsidR="00723301" w:rsidRPr="00120E6C" w:rsidRDefault="00AC701E" w:rsidP="00100E12">
      <w:pPr>
        <w:pStyle w:val="Prrafodelista"/>
        <w:spacing w:after="0"/>
        <w:ind w:left="360"/>
        <w:rPr>
          <w:sz w:val="20"/>
          <w:szCs w:val="20"/>
        </w:rPr>
      </w:pPr>
      <w:r w:rsidRPr="00120E6C">
        <w:rPr>
          <w:sz w:val="20"/>
          <w:szCs w:val="20"/>
        </w:rPr>
        <w:t>Indicador interno</w:t>
      </w:r>
      <w:r w:rsidR="00723301" w:rsidRPr="00120E6C">
        <w:rPr>
          <w:sz w:val="20"/>
          <w:szCs w:val="20"/>
        </w:rPr>
        <w:t xml:space="preserve"> (por el momento)</w:t>
      </w:r>
    </w:p>
    <w:p w14:paraId="58D7AE61" w14:textId="77777777" w:rsidR="00723301" w:rsidRPr="00120E6C" w:rsidRDefault="00723301" w:rsidP="00100E12">
      <w:pPr>
        <w:pStyle w:val="Prrafodelista"/>
        <w:spacing w:after="0"/>
        <w:ind w:left="360"/>
        <w:rPr>
          <w:sz w:val="20"/>
          <w:szCs w:val="20"/>
        </w:rPr>
      </w:pPr>
      <w:r w:rsidRPr="00120E6C">
        <w:rPr>
          <w:sz w:val="20"/>
          <w:szCs w:val="20"/>
          <w:u w:val="single"/>
        </w:rPr>
        <w:t>Red Nacional de Metadatos</w:t>
      </w:r>
      <w:r w:rsidRPr="00120E6C">
        <w:rPr>
          <w:sz w:val="20"/>
          <w:szCs w:val="20"/>
        </w:rPr>
        <w:t>.</w:t>
      </w:r>
    </w:p>
    <w:p w14:paraId="459AF3E2" w14:textId="01B907C2" w:rsidR="00100E12" w:rsidRPr="00120E6C" w:rsidRDefault="00723301" w:rsidP="00100E12">
      <w:pPr>
        <w:pStyle w:val="Prrafodelista"/>
        <w:spacing w:after="0"/>
        <w:ind w:left="360"/>
        <w:rPr>
          <w:sz w:val="20"/>
          <w:szCs w:val="20"/>
        </w:rPr>
      </w:pPr>
      <w:r w:rsidRPr="00120E6C">
        <w:rPr>
          <w:sz w:val="20"/>
          <w:szCs w:val="20"/>
        </w:rPr>
        <w:t xml:space="preserve">Interno. Sitio del Comité de Aseguramiento de la Calidad, </w:t>
      </w:r>
      <w:r w:rsidRPr="00120E6C">
        <w:rPr>
          <w:sz w:val="20"/>
          <w:szCs w:val="20"/>
          <w:u w:val="single"/>
        </w:rPr>
        <w:t>Informe de Resultados del Comité de Aseguramiento de la Calidad</w:t>
      </w:r>
      <w:r w:rsidR="00DF5B40" w:rsidRPr="00120E6C">
        <w:rPr>
          <w:sz w:val="20"/>
          <w:szCs w:val="20"/>
        </w:rPr>
        <w:t>.</w:t>
      </w:r>
    </w:p>
    <w:p w14:paraId="5B32A51F" w14:textId="2565839F" w:rsidR="00723301" w:rsidRDefault="00723301" w:rsidP="00100E12">
      <w:pPr>
        <w:pStyle w:val="Prrafodelista"/>
        <w:spacing w:after="0"/>
        <w:ind w:left="360"/>
        <w:rPr>
          <w:sz w:val="20"/>
          <w:szCs w:val="20"/>
        </w:rPr>
      </w:pPr>
      <w:r w:rsidRPr="00120E6C">
        <w:rPr>
          <w:sz w:val="20"/>
          <w:szCs w:val="20"/>
        </w:rPr>
        <w:t>Interno. Sitio Aseguramiento de la Calida</w:t>
      </w:r>
      <w:r w:rsidR="00120E6C" w:rsidRPr="00120E6C">
        <w:rPr>
          <w:sz w:val="20"/>
          <w:szCs w:val="20"/>
        </w:rPr>
        <w:t xml:space="preserve">d. </w:t>
      </w:r>
      <w:r w:rsidR="00120E6C">
        <w:rPr>
          <w:sz w:val="20"/>
          <w:szCs w:val="20"/>
          <w:u w:val="single"/>
        </w:rPr>
        <w:t>Sistema de reporte de indicadores de precisión</w:t>
      </w:r>
      <w:r w:rsidR="009F4005" w:rsidRPr="009F4005">
        <w:rPr>
          <w:sz w:val="20"/>
          <w:szCs w:val="20"/>
        </w:rPr>
        <w:t>.</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1555E84D" w:rsidR="00100E12" w:rsidRDefault="00AC701E" w:rsidP="00100E12">
      <w:pPr>
        <w:pStyle w:val="Prrafodelista"/>
        <w:spacing w:after="0"/>
        <w:ind w:left="360"/>
        <w:rPr>
          <w:sz w:val="20"/>
          <w:szCs w:val="20"/>
        </w:rPr>
      </w:pPr>
      <w:r>
        <w:rPr>
          <w:sz w:val="20"/>
          <w:szCs w:val="20"/>
        </w:rPr>
        <w:t>16</w:t>
      </w:r>
      <w:r w:rsidR="00100E12" w:rsidRPr="00100E12">
        <w:rPr>
          <w:sz w:val="20"/>
          <w:szCs w:val="20"/>
        </w:rPr>
        <w:t>/</w:t>
      </w:r>
      <w:r>
        <w:rPr>
          <w:sz w:val="20"/>
          <w:szCs w:val="20"/>
        </w:rPr>
        <w:t>07</w:t>
      </w:r>
      <w:r w:rsidR="00100E12" w:rsidRPr="00100E12">
        <w:rPr>
          <w:sz w:val="20"/>
          <w:szCs w:val="20"/>
        </w:rPr>
        <w:t>/20</w:t>
      </w:r>
      <w:r>
        <w:rPr>
          <w:sz w:val="20"/>
          <w:szCs w:val="20"/>
        </w:rPr>
        <w:t>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6A1BE5D4" w14:textId="77777777" w:rsidR="00C00E51" w:rsidRDefault="00C00E51" w:rsidP="00100E12">
      <w:pPr>
        <w:pStyle w:val="Prrafodelista"/>
        <w:spacing w:after="0"/>
        <w:ind w:left="360"/>
        <w:rPr>
          <w:sz w:val="20"/>
          <w:szCs w:val="20"/>
        </w:rPr>
      </w:pPr>
    </w:p>
    <w:p w14:paraId="61AB7E3B" w14:textId="77777777" w:rsidR="00C00E51" w:rsidRDefault="00C00E51" w:rsidP="00100E12">
      <w:pPr>
        <w:pStyle w:val="Prrafodelista"/>
        <w:spacing w:after="0"/>
        <w:ind w:left="360"/>
        <w:rPr>
          <w:sz w:val="20"/>
          <w:szCs w:val="20"/>
        </w:rPr>
      </w:pPr>
    </w:p>
    <w:p w14:paraId="7AA50AAC" w14:textId="77777777" w:rsidR="00C00E51" w:rsidRDefault="00C00E51"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6AAE8F53" w14:textId="77777777" w:rsidR="00120E6C" w:rsidRDefault="00120E6C"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w:lastRenderedPageBreak/>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4BCC548E" w:rsidR="0097395E" w:rsidRPr="00464252" w:rsidRDefault="00AC701E"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Censo</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439F7649" w:rsidR="0097395E" w:rsidRPr="0097395E" w:rsidRDefault="00AC701E" w:rsidP="00422CB7">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La no respuesta o existencia de valores perdidos está presente en todo </w:t>
      </w:r>
      <w:r w:rsidR="002C45D4">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2C45D4">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C701E">
        <w:rPr>
          <w:rFonts w:ascii="Calibri" w:eastAsia="Times New Roman" w:hAnsi="Calibri" w:cs="Calibri"/>
          <w:color w:val="000000"/>
          <w:kern w:val="0"/>
          <w:sz w:val="20"/>
          <w:szCs w:val="20"/>
          <w:lang w:eastAsia="es-MX"/>
          <w14:ligatures w14:val="none"/>
        </w:rPr>
        <w:t xml:space="preserve"> y puede inducir un sesgo en las estadísticas o indicadores que se generen a partir de la información. El objetivo principal de la tasa de no respuesta después de imputación a nivel unidad de observación es identificar la existencia de patrones en la no respuesta que pudieran inducir algún  sesgo en las estimaciones, por lo tanto, la tasa de no respuesta después de imputación se obtiene una vez que se ha realizado el proceso de imputación y se debe calcular y comparar sobre los diferentes dominios de estudio, variables más importantes usadas para la estratificación o sobre agrupaciones que pudieran estar relacionadas con las variables principales de otros </w:t>
      </w:r>
      <w:r w:rsidR="002C45D4">
        <w:rPr>
          <w:rFonts w:ascii="Calibri" w:eastAsia="Times New Roman" w:hAnsi="Calibri" w:cs="Calibri"/>
          <w:color w:val="000000"/>
          <w:kern w:val="0"/>
          <w:sz w:val="20"/>
          <w:szCs w:val="20"/>
          <w:lang w:eastAsia="es-MX"/>
          <w14:ligatures w14:val="none"/>
        </w:rPr>
        <w:t>procesos de producción</w:t>
      </w:r>
      <w:r w:rsidRPr="00AC701E">
        <w:rPr>
          <w:rFonts w:ascii="Calibri" w:eastAsia="Times New Roman" w:hAnsi="Calibri" w:cs="Calibri"/>
          <w:color w:val="000000"/>
          <w:kern w:val="0"/>
          <w:sz w:val="20"/>
          <w:szCs w:val="20"/>
          <w:lang w:eastAsia="es-MX"/>
          <w14:ligatures w14:val="none"/>
        </w:rPr>
        <w:t xml:space="preserve"> u otras fuentes de datos.</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478D9EFD" w:rsidR="0097395E" w:rsidRPr="0097395E" w:rsidRDefault="00AC701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Se calculará según la periodicidad con la que se llevan a cabo los ciclos del </w:t>
      </w:r>
      <w:r w:rsidR="002C45D4">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2C45D4">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C701E">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44B8CAD4" w:rsidR="0097395E" w:rsidRPr="0097395E" w:rsidRDefault="00AC701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Esta tasa se reportará y resguardará en el sistema de metadatos a más tardar en 30 días naturales a partir de la publicación del pro</w:t>
      </w:r>
      <w:r w:rsidR="00EF09AB">
        <w:rPr>
          <w:rFonts w:ascii="Calibri" w:eastAsia="Times New Roman" w:hAnsi="Calibri" w:cs="Calibri"/>
          <w:color w:val="000000"/>
          <w:kern w:val="0"/>
          <w:sz w:val="20"/>
          <w:szCs w:val="20"/>
          <w:lang w:eastAsia="es-MX"/>
          <w14:ligatures w14:val="none"/>
        </w:rPr>
        <w:t>ceso de producción</w:t>
      </w:r>
      <w:r w:rsidR="00D42E7D" w:rsidRPr="00D42E7D">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6D881215" w:rsidR="0097395E" w:rsidRPr="0097395E" w:rsidRDefault="00AC701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El periodo de referencia del indicador corresponde a aquel definido en la población objeto de estudio del </w:t>
      </w:r>
      <w:r w:rsidR="002C45D4">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2C45D4">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3E52105D" w14:textId="7E1CDAC6" w:rsidR="00AC701E" w:rsidRDefault="00AC701E" w:rsidP="00AC701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I. Se deberán especificar los aspectos siguientes para cada </w:t>
      </w:r>
      <w:r w:rsidR="002C45D4">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2C45D4">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C701E">
        <w:rPr>
          <w:rFonts w:ascii="Calibri" w:eastAsia="Times New Roman" w:hAnsi="Calibri" w:cs="Calibri"/>
          <w:color w:val="000000"/>
          <w:kern w:val="0"/>
          <w:sz w:val="20"/>
          <w:szCs w:val="20"/>
          <w:lang w:eastAsia="es-MX"/>
          <w14:ligatures w14:val="none"/>
        </w:rPr>
        <w:t>:</w:t>
      </w:r>
    </w:p>
    <w:p w14:paraId="4F90D6E0" w14:textId="7276892D" w:rsidR="00AC701E" w:rsidRPr="00AC701E" w:rsidRDefault="00AC701E" w:rsidP="00AC701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 xml:space="preserve">i) La población objeto de estudio del </w:t>
      </w:r>
      <w:r w:rsidR="002C45D4">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 xml:space="preserve">roceso de </w:t>
      </w:r>
      <w:r w:rsidR="002C45D4">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C701E">
        <w:rPr>
          <w:rFonts w:ascii="Calibri" w:eastAsia="Times New Roman" w:hAnsi="Calibri" w:cs="Calibri"/>
          <w:color w:val="000000"/>
          <w:kern w:val="0"/>
          <w:sz w:val="20"/>
          <w:szCs w:val="20"/>
          <w:lang w:eastAsia="es-MX"/>
          <w14:ligatures w14:val="none"/>
        </w:rPr>
        <w:t xml:space="preserve">                                                                                                                                                        ii) Las agrupaciones sobre las cuales se calculará el indicador (principales dominios de estudio o agrupaciones relacionadas con las variables principales del pro</w:t>
      </w:r>
      <w:r>
        <w:rPr>
          <w:rFonts w:ascii="Calibri" w:eastAsia="Times New Roman" w:hAnsi="Calibri" w:cs="Calibri"/>
          <w:color w:val="000000"/>
          <w:kern w:val="0"/>
          <w:sz w:val="20"/>
          <w:szCs w:val="20"/>
          <w:lang w:eastAsia="es-MX"/>
          <w14:ligatures w14:val="none"/>
        </w:rPr>
        <w:t>ceso de producción</w:t>
      </w:r>
      <w:r w:rsidRPr="00AC701E">
        <w:rPr>
          <w:rFonts w:ascii="Calibri" w:eastAsia="Times New Roman" w:hAnsi="Calibri" w:cs="Calibri"/>
          <w:color w:val="000000"/>
          <w:kern w:val="0"/>
          <w:sz w:val="20"/>
          <w:szCs w:val="20"/>
          <w:lang w:eastAsia="es-MX"/>
          <w14:ligatures w14:val="none"/>
        </w:rPr>
        <w:t xml:space="preserve">). </w:t>
      </w:r>
    </w:p>
    <w:p w14:paraId="029028EB" w14:textId="77777777" w:rsidR="00AC701E" w:rsidRPr="00AC701E" w:rsidRDefault="00AC701E" w:rsidP="00AC701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F7E752B" w14:textId="77777777" w:rsidR="00AC701E" w:rsidRPr="00AC701E" w:rsidRDefault="00AC701E" w:rsidP="00AC701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II. Para efectos de esta ficha se entenderá:</w:t>
      </w:r>
    </w:p>
    <w:p w14:paraId="6161DC7F" w14:textId="6FE9648A" w:rsidR="00AC701E" w:rsidRDefault="00AC701E" w:rsidP="0084581F">
      <w:pPr>
        <w:pStyle w:val="Prrafodelista"/>
        <w:numPr>
          <w:ilvl w:val="0"/>
          <w:numId w:val="12"/>
        </w:numPr>
        <w:spacing w:after="0" w:line="240" w:lineRule="auto"/>
        <w:ind w:left="709" w:hanging="283"/>
        <w:jc w:val="both"/>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b/>
          <w:bCs/>
          <w:color w:val="000000"/>
          <w:kern w:val="0"/>
          <w:sz w:val="20"/>
          <w:szCs w:val="20"/>
          <w:lang w:eastAsia="es-MX"/>
          <w14:ligatures w14:val="none"/>
        </w:rPr>
        <w:t>Dominio de Estudio:</w:t>
      </w:r>
      <w:r w:rsidRPr="00AC701E">
        <w:rPr>
          <w:rFonts w:ascii="Calibri" w:eastAsia="Times New Roman" w:hAnsi="Calibri" w:cs="Calibri"/>
          <w:color w:val="000000"/>
          <w:kern w:val="0"/>
          <w:sz w:val="20"/>
          <w:szCs w:val="20"/>
          <w:lang w:eastAsia="es-MX"/>
          <w14:ligatures w14:val="none"/>
        </w:rPr>
        <w:t xml:space="preserve"> Subconjunto de la población para el cual se requiere realizar mediciones o representaciones de los conceptos de forma separada.</w:t>
      </w:r>
    </w:p>
    <w:p w14:paraId="7CA8B9B6" w14:textId="002B29E0" w:rsidR="0084581F" w:rsidRPr="00AC701E" w:rsidRDefault="0084581F" w:rsidP="0084581F">
      <w:pPr>
        <w:pStyle w:val="Prrafodelista"/>
        <w:numPr>
          <w:ilvl w:val="0"/>
          <w:numId w:val="12"/>
        </w:numPr>
        <w:spacing w:after="0" w:line="240" w:lineRule="auto"/>
        <w:ind w:left="709" w:hanging="283"/>
        <w:jc w:val="both"/>
        <w:rPr>
          <w:rFonts w:ascii="Calibri" w:eastAsia="Times New Roman" w:hAnsi="Calibri" w:cs="Calibri"/>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Población:</w:t>
      </w:r>
      <w:r>
        <w:rPr>
          <w:rFonts w:ascii="Calibri" w:eastAsia="Times New Roman" w:hAnsi="Calibri" w:cs="Calibri"/>
          <w:color w:val="000000"/>
          <w:kern w:val="0"/>
          <w:sz w:val="20"/>
          <w:szCs w:val="20"/>
          <w:lang w:eastAsia="es-MX"/>
          <w14:ligatures w14:val="none"/>
        </w:rPr>
        <w:t xml:space="preserve"> El conjunto de unidades pertenecientes a un grupo de personas, empresas, establecimientos, viviendas, o cualquier otro tipo de objetos, acciones o eventos, con base en ciertas características bien definidas, incluyendo límites sobre tiempo y espacio.</w:t>
      </w:r>
    </w:p>
    <w:p w14:paraId="0BEA306D" w14:textId="5E6746CA" w:rsidR="00AC701E" w:rsidRPr="0084581F" w:rsidRDefault="00AC701E" w:rsidP="0084581F">
      <w:pPr>
        <w:pStyle w:val="Prrafodelista"/>
        <w:numPr>
          <w:ilvl w:val="0"/>
          <w:numId w:val="12"/>
        </w:numPr>
        <w:spacing w:after="0" w:line="240" w:lineRule="auto"/>
        <w:ind w:left="709" w:hanging="283"/>
        <w:jc w:val="both"/>
        <w:rPr>
          <w:rFonts w:ascii="Calibri" w:eastAsia="Times New Roman" w:hAnsi="Calibri" w:cs="Calibri"/>
          <w:b/>
          <w:bCs/>
          <w:color w:val="000000"/>
          <w:kern w:val="0"/>
          <w:sz w:val="20"/>
          <w:szCs w:val="20"/>
          <w:lang w:eastAsia="es-MX"/>
          <w14:ligatures w14:val="none"/>
        </w:rPr>
      </w:pPr>
      <w:r w:rsidRPr="00AC701E">
        <w:rPr>
          <w:rFonts w:ascii="Calibri" w:eastAsia="Times New Roman" w:hAnsi="Calibri" w:cs="Calibri"/>
          <w:b/>
          <w:bCs/>
          <w:color w:val="000000"/>
          <w:kern w:val="0"/>
          <w:sz w:val="20"/>
          <w:szCs w:val="20"/>
          <w:lang w:eastAsia="es-MX"/>
          <w14:ligatures w14:val="none"/>
        </w:rPr>
        <w:t>Unidades de observación con información completa:</w:t>
      </w:r>
      <w:r w:rsidRPr="0084581F">
        <w:rPr>
          <w:rFonts w:ascii="Calibri" w:eastAsia="Times New Roman" w:hAnsi="Calibri" w:cs="Calibri"/>
          <w:b/>
          <w:bCs/>
          <w:color w:val="000000"/>
          <w:kern w:val="0"/>
          <w:sz w:val="20"/>
          <w:szCs w:val="20"/>
          <w:lang w:eastAsia="es-MX"/>
          <w14:ligatures w14:val="none"/>
        </w:rPr>
        <w:t xml:space="preserve"> </w:t>
      </w:r>
      <w:r w:rsidRPr="0084581F">
        <w:rPr>
          <w:rFonts w:ascii="Calibri" w:eastAsia="Times New Roman" w:hAnsi="Calibri" w:cs="Calibri"/>
          <w:color w:val="000000"/>
          <w:kern w:val="0"/>
          <w:sz w:val="20"/>
          <w:szCs w:val="20"/>
          <w:lang w:eastAsia="es-MX"/>
          <w14:ligatures w14:val="none"/>
        </w:rPr>
        <w:t>corresponde a aquellas unidades de observación que, al cierre del operativo de campo en la fase de captación, cuentan con información completa para las variables principales objetivo del levantamiento.</w:t>
      </w:r>
    </w:p>
    <w:p w14:paraId="325071BC" w14:textId="179C4390" w:rsidR="00AC701E" w:rsidRPr="0084581F" w:rsidRDefault="00AC701E" w:rsidP="0084581F">
      <w:pPr>
        <w:pStyle w:val="Prrafodelista"/>
        <w:numPr>
          <w:ilvl w:val="0"/>
          <w:numId w:val="12"/>
        </w:numPr>
        <w:spacing w:after="0" w:line="240" w:lineRule="auto"/>
        <w:ind w:left="709" w:hanging="283"/>
        <w:jc w:val="both"/>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b/>
          <w:bCs/>
          <w:color w:val="000000"/>
          <w:kern w:val="0"/>
          <w:sz w:val="20"/>
          <w:szCs w:val="20"/>
          <w:lang w:eastAsia="es-MX"/>
          <w14:ligatures w14:val="none"/>
        </w:rPr>
        <w:t>Unidades de observación sin información e incompletas:</w:t>
      </w:r>
      <w:r w:rsidRPr="0084581F">
        <w:rPr>
          <w:rFonts w:ascii="Calibri" w:eastAsia="Times New Roman" w:hAnsi="Calibri" w:cs="Calibri"/>
          <w:b/>
          <w:bCs/>
          <w:color w:val="000000"/>
          <w:kern w:val="0"/>
          <w:sz w:val="20"/>
          <w:szCs w:val="20"/>
          <w:lang w:eastAsia="es-MX"/>
          <w14:ligatures w14:val="none"/>
        </w:rPr>
        <w:t xml:space="preserve"> </w:t>
      </w:r>
      <w:r w:rsidRPr="0084581F">
        <w:rPr>
          <w:rFonts w:ascii="Calibri" w:eastAsia="Times New Roman" w:hAnsi="Calibri" w:cs="Calibri"/>
          <w:color w:val="000000"/>
          <w:kern w:val="0"/>
          <w:sz w:val="20"/>
          <w:szCs w:val="20"/>
          <w:lang w:eastAsia="es-MX"/>
          <w14:ligatures w14:val="none"/>
        </w:rPr>
        <w:t>corresponde a aquellas unidades de observación que tienen códigos de resultado de instrumentos de captación sin información levantada, o que no cuentan con información completa para las variables principales objetivo del levantamiento.</w:t>
      </w:r>
    </w:p>
    <w:p w14:paraId="5328033E" w14:textId="77777777" w:rsidR="00AC701E" w:rsidRPr="00AC701E" w:rsidRDefault="00AC701E" w:rsidP="00AC701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8B9BD8C" w14:textId="5A37D334" w:rsidR="0097395E" w:rsidRPr="00DE2869" w:rsidRDefault="00AC701E" w:rsidP="00AC701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III. El total de las unidades de observación es el total de unidades consideradas por el universo censal.</w:t>
      </w:r>
    </w:p>
    <w:p w14:paraId="661398A3" w14:textId="77777777" w:rsidR="00F37A79" w:rsidRDefault="00F37A79"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7E7EEA5" w14:textId="77777777" w:rsidR="002419AA" w:rsidRDefault="002419AA"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ED49F6C" w14:textId="77777777" w:rsidR="002419AA" w:rsidRPr="008C470B" w:rsidRDefault="002419AA"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Fórmula de cálculo:</w:t>
      </w:r>
    </w:p>
    <w:p w14:paraId="0F6B5836" w14:textId="77777777" w:rsidR="0084581F" w:rsidRDefault="0084581F" w:rsidP="0084581F">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D6B2778" w14:textId="6F0DAEFE" w:rsidR="0084581F" w:rsidRPr="00120E6C" w:rsidRDefault="0084581F" w:rsidP="00120E6C">
      <w:pPr>
        <w:pStyle w:val="Prrafodelista"/>
        <w:spacing w:after="0" w:line="240" w:lineRule="auto"/>
        <w:ind w:left="360"/>
        <w:jc w:val="both"/>
        <w:rPr>
          <w:rFonts w:ascii="Calibri" w:eastAsia="Times New Roman" w:hAnsi="Calibri" w:cs="Calibri"/>
          <w:color w:val="000000"/>
          <w:kern w:val="0"/>
          <w:sz w:val="20"/>
          <w:szCs w:val="20"/>
          <w:lang w:val="es-419" w:eastAsia="es-MX"/>
          <w14:ligatures w14:val="none"/>
        </w:rPr>
      </w:pPr>
      <w:r w:rsidRPr="00120E6C">
        <w:rPr>
          <w:rFonts w:ascii="Calibri" w:eastAsia="Times New Roman" w:hAnsi="Calibri" w:cs="Calibri"/>
          <w:color w:val="000000"/>
          <w:kern w:val="0"/>
          <w:sz w:val="20"/>
          <w:szCs w:val="20"/>
          <w:lang w:val="es-419" w:eastAsia="es-MX"/>
          <w14:ligatures w14:val="none"/>
        </w:rPr>
        <w:t>Para cada nivel de agregación</w:t>
      </w:r>
      <w:r w:rsidRPr="0084581F">
        <w:rPr>
          <w:rFonts w:ascii="Calibri" w:eastAsia="Times New Roman" w:hAnsi="Calibri" w:cs="Calibri"/>
          <w:i/>
          <w:iCs/>
          <w:color w:val="000000"/>
          <w:kern w:val="0"/>
          <w:sz w:val="20"/>
          <w:szCs w:val="20"/>
          <w:lang w:val="es-419" w:eastAsia="es-MX"/>
          <w14:ligatures w14:val="none"/>
        </w:rPr>
        <w:t xml:space="preserve"> </w:t>
      </w:r>
      <m:oMath>
        <m:r>
          <w:rPr>
            <w:rFonts w:ascii="Cambria Math" w:eastAsia="Times New Roman" w:hAnsi="Cambria Math" w:cs="Calibri"/>
            <w:color w:val="000000"/>
            <w:kern w:val="0"/>
            <w:sz w:val="20"/>
            <w:szCs w:val="20"/>
            <w:lang w:val="es-419" w:eastAsia="es-MX"/>
            <w14:ligatures w14:val="none"/>
          </w:rPr>
          <m:t>g</m:t>
        </m:r>
      </m:oMath>
      <w:r w:rsidRPr="0084581F">
        <w:rPr>
          <w:rFonts w:ascii="Calibri" w:eastAsia="Times New Roman" w:hAnsi="Calibri" w:cs="Calibri"/>
          <w:i/>
          <w:iCs/>
          <w:color w:val="000000"/>
          <w:kern w:val="0"/>
          <w:sz w:val="20"/>
          <w:szCs w:val="20"/>
          <w:lang w:val="es-419" w:eastAsia="es-MX"/>
          <w14:ligatures w14:val="none"/>
        </w:rPr>
        <w:t xml:space="preserve">, </w:t>
      </w:r>
      <m:oMath>
        <m:r>
          <w:rPr>
            <w:rFonts w:ascii="Cambria Math" w:eastAsia="Times New Roman" w:hAnsi="Cambria Math" w:cs="Calibri"/>
            <w:color w:val="000000"/>
            <w:kern w:val="0"/>
            <w:sz w:val="20"/>
            <w:szCs w:val="20"/>
            <w:lang w:val="es-419" w:eastAsia="es-MX"/>
            <w14:ligatures w14:val="none"/>
          </w:rPr>
          <m:t>g=1,…,G</m:t>
        </m:r>
      </m:oMath>
      <w:r w:rsidRPr="0084581F">
        <w:rPr>
          <w:rFonts w:ascii="Calibri" w:eastAsia="Times New Roman" w:hAnsi="Calibri" w:cs="Calibri"/>
          <w:i/>
          <w:iCs/>
          <w:color w:val="000000"/>
          <w:kern w:val="0"/>
          <w:sz w:val="20"/>
          <w:szCs w:val="20"/>
          <w:lang w:val="es-419" w:eastAsia="es-MX"/>
          <w14:ligatures w14:val="none"/>
        </w:rPr>
        <w:t xml:space="preserve">, </w:t>
      </w:r>
      <w:r w:rsidRPr="00120E6C">
        <w:rPr>
          <w:rFonts w:ascii="Calibri" w:eastAsia="Times New Roman" w:hAnsi="Calibri" w:cs="Calibri"/>
          <w:color w:val="000000"/>
          <w:kern w:val="0"/>
          <w:sz w:val="20"/>
          <w:szCs w:val="20"/>
          <w:lang w:val="es-419" w:eastAsia="es-MX"/>
          <w14:ligatures w14:val="none"/>
        </w:rPr>
        <w:t>sea</w:t>
      </w:r>
      <w:r w:rsidRPr="0084581F">
        <w:rPr>
          <w:rFonts w:ascii="Calibri" w:eastAsia="Times New Roman" w:hAnsi="Calibri" w:cs="Calibri"/>
          <w:i/>
          <w:iCs/>
          <w:color w:val="000000"/>
          <w:kern w:val="0"/>
          <w:sz w:val="20"/>
          <w:szCs w:val="20"/>
          <w:lang w:val="es-419" w:eastAsia="es-MX"/>
          <w14:ligatures w14:val="none"/>
        </w:rPr>
        <w:t xml:space="preserve"> </w:t>
      </w:r>
      <m:oMath>
        <m:r>
          <w:rPr>
            <w:rFonts w:ascii="Cambria Math" w:eastAsia="Times New Roman" w:hAnsi="Cambria Math" w:cs="Calibri"/>
            <w:color w:val="000000"/>
            <w:kern w:val="0"/>
            <w:sz w:val="20"/>
            <w:szCs w:val="20"/>
            <w:lang w:val="es-419" w:eastAsia="es-MX"/>
            <w14:ligatures w14:val="none"/>
          </w:rPr>
          <m:t>N</m:t>
        </m:r>
        <m:r>
          <w:rPr>
            <w:rFonts w:ascii="Cambria Math" w:eastAsia="Times New Roman" w:hAnsi="Cambria Math" w:cs="Calibri"/>
            <w:color w:val="000000"/>
            <w:kern w:val="0"/>
            <w:sz w:val="20"/>
            <w:szCs w:val="20"/>
            <w:vertAlign w:val="subscript"/>
            <w:lang w:val="es-419" w:eastAsia="es-MX"/>
            <w14:ligatures w14:val="none"/>
          </w:rPr>
          <m:t>g</m:t>
        </m:r>
      </m:oMath>
      <w:r w:rsidRPr="0084581F">
        <w:rPr>
          <w:rFonts w:ascii="Calibri" w:eastAsia="Times New Roman" w:hAnsi="Calibri" w:cs="Calibri"/>
          <w:i/>
          <w:iCs/>
          <w:color w:val="000000"/>
          <w:kern w:val="0"/>
          <w:sz w:val="20"/>
          <w:szCs w:val="20"/>
          <w:lang w:val="es-419" w:eastAsia="es-MX"/>
          <w14:ligatures w14:val="none"/>
        </w:rPr>
        <w:t xml:space="preserve"> </w:t>
      </w:r>
      <w:r w:rsidRPr="00120E6C">
        <w:rPr>
          <w:rFonts w:ascii="Calibri" w:eastAsia="Times New Roman" w:hAnsi="Calibri" w:cs="Calibri"/>
          <w:color w:val="000000"/>
          <w:kern w:val="0"/>
          <w:sz w:val="20"/>
          <w:szCs w:val="20"/>
          <w:lang w:val="es-419" w:eastAsia="es-MX"/>
          <w14:ligatures w14:val="none"/>
        </w:rPr>
        <w:t>el número de unidades de observación en donde se intentó recabar la información.</w:t>
      </w:r>
    </w:p>
    <w:p w14:paraId="09EF2DAE" w14:textId="77777777" w:rsidR="0084581F" w:rsidRPr="0084581F" w:rsidRDefault="0084581F" w:rsidP="0084581F">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42D61749" w14:textId="77777777" w:rsidR="0084581F" w:rsidRPr="0084581F" w:rsidRDefault="0084581F" w:rsidP="0084581F">
      <w:pPr>
        <w:pStyle w:val="Prrafodelista"/>
        <w:spacing w:after="0" w:line="240" w:lineRule="auto"/>
        <w:ind w:left="360"/>
        <w:rPr>
          <w:rFonts w:ascii="Calibri" w:eastAsia="Times New Roman" w:hAnsi="Calibri" w:cs="Calibri"/>
          <w:color w:val="000000"/>
          <w:kern w:val="0"/>
          <w:sz w:val="20"/>
          <w:szCs w:val="20"/>
          <w:lang w:eastAsia="es-MX"/>
          <w14:ligatures w14:val="none"/>
        </w:rPr>
      </w:pPr>
      <w:r w:rsidRPr="0084581F">
        <w:rPr>
          <w:rFonts w:ascii="Calibri" w:eastAsia="Times New Roman" w:hAnsi="Calibri" w:cs="Calibri"/>
          <w:i/>
          <w:iCs/>
          <w:color w:val="000000"/>
          <w:kern w:val="0"/>
          <w:sz w:val="20"/>
          <w:szCs w:val="20"/>
          <w:lang w:val="es-419" w:eastAsia="es-MX"/>
          <w14:ligatures w14:val="none"/>
        </w:rPr>
        <w:t>Sean:</w:t>
      </w:r>
    </w:p>
    <w:p w14:paraId="2A482C8E" w14:textId="4980BC32" w:rsidR="0084581F" w:rsidRPr="00120E6C" w:rsidRDefault="0084581F" w:rsidP="00120E6C">
      <w:pPr>
        <w:pStyle w:val="Prrafodelista"/>
        <w:spacing w:after="0" w:line="240" w:lineRule="auto"/>
        <w:ind w:left="851"/>
        <w:jc w:val="both"/>
        <w:rPr>
          <w:rFonts w:ascii="Calibri" w:eastAsia="Times New Roman" w:hAnsi="Calibri" w:cs="Calibri"/>
          <w:color w:val="000000"/>
          <w:kern w:val="0"/>
          <w:sz w:val="20"/>
          <w:szCs w:val="20"/>
          <w:lang w:eastAsia="es-MX"/>
          <w14:ligatures w14:val="none"/>
        </w:rPr>
      </w:pPr>
      <m:oMath>
        <m:r>
          <w:rPr>
            <w:rFonts w:ascii="Cambria Math" w:eastAsia="Times New Roman" w:hAnsi="Cambria Math" w:cs="Calibri"/>
            <w:color w:val="000000"/>
            <w:kern w:val="0"/>
            <w:sz w:val="20"/>
            <w:szCs w:val="20"/>
            <w:lang w:val="es-419" w:eastAsia="es-MX"/>
            <w14:ligatures w14:val="none"/>
          </w:rPr>
          <m:t>N</m:t>
        </m:r>
        <m:r>
          <w:rPr>
            <w:rFonts w:ascii="Cambria Math" w:eastAsia="Times New Roman" w:hAnsi="Cambria Math" w:cs="Calibri"/>
            <w:color w:val="000000"/>
            <w:kern w:val="0"/>
            <w:sz w:val="20"/>
            <w:szCs w:val="20"/>
            <w:vertAlign w:val="subscript"/>
            <w:lang w:val="es-419" w:eastAsia="es-MX"/>
            <w14:ligatures w14:val="none"/>
          </w:rPr>
          <m:t>g1</m:t>
        </m:r>
      </m:oMath>
      <w:r w:rsidRPr="0084581F">
        <w:rPr>
          <w:rFonts w:ascii="Calibri" w:eastAsia="Times New Roman" w:hAnsi="Calibri" w:cs="Calibri"/>
          <w:i/>
          <w:iCs/>
          <w:color w:val="000000"/>
          <w:kern w:val="0"/>
          <w:sz w:val="20"/>
          <w:szCs w:val="20"/>
          <w:lang w:val="es-419" w:eastAsia="es-MX"/>
          <w14:ligatures w14:val="none"/>
        </w:rPr>
        <w:t xml:space="preserve">: </w:t>
      </w:r>
      <w:r w:rsidRPr="00120E6C">
        <w:rPr>
          <w:rFonts w:ascii="Calibri" w:eastAsia="Times New Roman" w:hAnsi="Calibri" w:cs="Calibri"/>
          <w:color w:val="000000"/>
          <w:kern w:val="0"/>
          <w:sz w:val="20"/>
          <w:szCs w:val="20"/>
          <w:lang w:val="es-419" w:eastAsia="es-MX"/>
          <w14:ligatures w14:val="none"/>
        </w:rPr>
        <w:t>Total de unidades de observación en donde toda la información es completa para las variables principales objetivo del levantamiento,</w:t>
      </w:r>
    </w:p>
    <w:p w14:paraId="2DE1FFAE" w14:textId="5064823D" w:rsidR="0084581F" w:rsidRPr="00120E6C" w:rsidRDefault="00000000" w:rsidP="00120E6C">
      <w:pPr>
        <w:pStyle w:val="Prrafodelista"/>
        <w:spacing w:after="0" w:line="240" w:lineRule="auto"/>
        <w:ind w:left="851"/>
        <w:jc w:val="both"/>
        <w:rPr>
          <w:rFonts w:ascii="Calibri" w:eastAsia="Times New Roman" w:hAnsi="Calibri" w:cs="Calibri"/>
          <w:color w:val="000000"/>
          <w:kern w:val="0"/>
          <w:sz w:val="20"/>
          <w:szCs w:val="20"/>
          <w:lang w:eastAsia="es-MX"/>
          <w14:ligatures w14:val="none"/>
        </w:rPr>
      </w:pP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g2</m:t>
            </m:r>
          </m:sub>
        </m:sSub>
      </m:oMath>
      <w:r w:rsidR="0084581F" w:rsidRPr="0084581F">
        <w:rPr>
          <w:rFonts w:ascii="Calibri" w:eastAsia="Times New Roman" w:hAnsi="Calibri" w:cs="Calibri"/>
          <w:i/>
          <w:iCs/>
          <w:color w:val="000000"/>
          <w:kern w:val="0"/>
          <w:sz w:val="20"/>
          <w:szCs w:val="20"/>
          <w:lang w:val="es-419" w:eastAsia="es-MX"/>
          <w14:ligatures w14:val="none"/>
        </w:rPr>
        <w:t xml:space="preserve">: </w:t>
      </w:r>
      <w:r w:rsidR="0084581F" w:rsidRPr="00120E6C">
        <w:rPr>
          <w:rFonts w:ascii="Calibri" w:eastAsia="Times New Roman" w:hAnsi="Calibri" w:cs="Calibri"/>
          <w:color w:val="000000"/>
          <w:kern w:val="0"/>
          <w:sz w:val="20"/>
          <w:szCs w:val="20"/>
          <w:lang w:val="es-419" w:eastAsia="es-MX"/>
          <w14:ligatures w14:val="none"/>
        </w:rPr>
        <w:t>Total unidades de observación en donde no se obtuvo información alguna, o</w:t>
      </w:r>
      <w:r w:rsidR="0084581F" w:rsidRPr="00120E6C">
        <w:rPr>
          <w:rFonts w:ascii="Calibri" w:eastAsia="Times New Roman" w:hAnsi="Calibri" w:cs="Calibri"/>
          <w:color w:val="000000"/>
          <w:kern w:val="0"/>
          <w:sz w:val="20"/>
          <w:szCs w:val="20"/>
          <w:lang w:eastAsia="es-MX"/>
          <w14:ligatures w14:val="none"/>
        </w:rPr>
        <w:t xml:space="preserve"> que no cuentan con información completa para las variables principales objetivo del levantamiento.</w:t>
      </w:r>
    </w:p>
    <w:p w14:paraId="521A839C" w14:textId="77777777" w:rsidR="0084581F" w:rsidRPr="00120E6C" w:rsidRDefault="0084581F" w:rsidP="0084581F">
      <w:pPr>
        <w:pStyle w:val="Prrafodelista"/>
        <w:spacing w:after="0" w:line="240" w:lineRule="auto"/>
        <w:ind w:left="851"/>
        <w:rPr>
          <w:rFonts w:ascii="Calibri" w:eastAsia="Times New Roman" w:hAnsi="Calibri" w:cs="Calibri"/>
          <w:color w:val="000000"/>
          <w:kern w:val="0"/>
          <w:sz w:val="20"/>
          <w:szCs w:val="20"/>
          <w:lang w:eastAsia="es-MX"/>
          <w14:ligatures w14:val="none"/>
        </w:rPr>
      </w:pPr>
      <w:r w:rsidRPr="00120E6C">
        <w:rPr>
          <w:rFonts w:ascii="Calibri" w:eastAsia="Times New Roman" w:hAnsi="Calibri" w:cs="Calibri"/>
          <w:color w:val="000000"/>
          <w:kern w:val="0"/>
          <w:sz w:val="20"/>
          <w:szCs w:val="20"/>
          <w:lang w:val="es-419" w:eastAsia="es-MX"/>
          <w14:ligatures w14:val="none"/>
        </w:rPr>
        <w:t>Donde:</w:t>
      </w:r>
    </w:p>
    <w:p w14:paraId="5E37E9DC" w14:textId="1351D4AA" w:rsidR="0084581F" w:rsidRPr="00120E6C" w:rsidRDefault="0084581F" w:rsidP="0084581F">
      <w:pPr>
        <w:pStyle w:val="Prrafodelista"/>
        <w:spacing w:after="0" w:line="240" w:lineRule="auto"/>
        <w:ind w:left="1560"/>
        <w:rPr>
          <w:rFonts w:ascii="Calibri" w:eastAsia="Times New Roman" w:hAnsi="Calibri" w:cs="Calibri"/>
          <w:color w:val="000000"/>
          <w:kern w:val="0"/>
          <w:sz w:val="20"/>
          <w:szCs w:val="20"/>
          <w:lang w:eastAsia="es-MX"/>
          <w14:ligatures w14:val="none"/>
        </w:rPr>
      </w:pPr>
      <m:oMath>
        <m:r>
          <w:rPr>
            <w:rFonts w:ascii="Cambria Math" w:eastAsia="Times New Roman" w:hAnsi="Cambria Math" w:cs="Calibri"/>
            <w:color w:val="000000"/>
            <w:kern w:val="0"/>
            <w:sz w:val="20"/>
            <w:szCs w:val="20"/>
            <w:lang w:val="es-419" w:eastAsia="es-MX"/>
            <w14:ligatures w14:val="none"/>
          </w:rPr>
          <m:t>N</m:t>
        </m:r>
        <m:r>
          <w:rPr>
            <w:rFonts w:ascii="Cambria Math" w:eastAsia="Times New Roman" w:hAnsi="Cambria Math" w:cs="Calibri"/>
            <w:color w:val="000000"/>
            <w:kern w:val="0"/>
            <w:sz w:val="20"/>
            <w:szCs w:val="20"/>
            <w:vertAlign w:val="subscript"/>
            <w:lang w:val="es-419" w:eastAsia="es-MX"/>
            <w14:ligatures w14:val="none"/>
          </w:rPr>
          <m:t>g</m:t>
        </m:r>
        <m:r>
          <w:rPr>
            <w:rFonts w:ascii="Cambria Math" w:eastAsia="Times New Roman" w:hAnsi="Cambria Math" w:cs="Calibri"/>
            <w:color w:val="000000"/>
            <w:kern w:val="0"/>
            <w:sz w:val="20"/>
            <w:szCs w:val="20"/>
            <w:vertAlign w:val="subscript"/>
            <w:lang w:eastAsia="es-MX"/>
            <w14:ligatures w14:val="none"/>
          </w:rPr>
          <m:t>2</m:t>
        </m:r>
        <m:r>
          <w:rPr>
            <w:rFonts w:ascii="Cambria Math" w:eastAsia="Times New Roman" w:hAnsi="Cambria Math" w:cs="Calibri"/>
            <w:color w:val="000000"/>
            <w:kern w:val="0"/>
            <w:sz w:val="20"/>
            <w:szCs w:val="20"/>
            <w:vertAlign w:val="subscript"/>
            <w:lang w:val="es-419" w:eastAsia="es-MX"/>
            <w14:ligatures w14:val="none"/>
          </w:rPr>
          <m:t>'</m:t>
        </m:r>
      </m:oMath>
      <w:r w:rsidRPr="0084581F">
        <w:rPr>
          <w:rFonts w:ascii="Calibri" w:eastAsia="Times New Roman" w:hAnsi="Calibri" w:cs="Calibri"/>
          <w:i/>
          <w:iCs/>
          <w:color w:val="000000"/>
          <w:kern w:val="0"/>
          <w:sz w:val="20"/>
          <w:szCs w:val="20"/>
          <w:lang w:val="es-419" w:eastAsia="es-MX"/>
          <w14:ligatures w14:val="none"/>
        </w:rPr>
        <w:t xml:space="preserve"> : </w:t>
      </w:r>
      <w:r w:rsidRPr="00120E6C">
        <w:rPr>
          <w:rFonts w:ascii="Calibri" w:eastAsia="Times New Roman" w:hAnsi="Calibri" w:cs="Calibri"/>
          <w:color w:val="000000"/>
          <w:kern w:val="0"/>
          <w:sz w:val="20"/>
          <w:szCs w:val="20"/>
          <w:lang w:val="es-419" w:eastAsia="es-MX"/>
          <w14:ligatures w14:val="none"/>
        </w:rPr>
        <w:t>Total de unidades sin información e incompletas, y que fueron imputadas,</w:t>
      </w:r>
    </w:p>
    <w:p w14:paraId="2213963C" w14:textId="097D7A1B" w:rsidR="0084581F" w:rsidRPr="00120E6C" w:rsidRDefault="0084581F" w:rsidP="0084581F">
      <w:pPr>
        <w:pStyle w:val="Prrafodelista"/>
        <w:spacing w:after="0" w:line="240" w:lineRule="auto"/>
        <w:ind w:left="1560"/>
        <w:rPr>
          <w:rFonts w:ascii="Calibri" w:eastAsia="Times New Roman" w:hAnsi="Calibri" w:cs="Calibri"/>
          <w:color w:val="000000"/>
          <w:kern w:val="0"/>
          <w:sz w:val="20"/>
          <w:szCs w:val="20"/>
          <w:lang w:eastAsia="es-MX"/>
          <w14:ligatures w14:val="none"/>
        </w:rPr>
      </w:pPr>
      <m:oMath>
        <m:r>
          <w:rPr>
            <w:rFonts w:ascii="Cambria Math" w:eastAsia="Times New Roman" w:hAnsi="Cambria Math" w:cs="Calibri"/>
            <w:color w:val="000000"/>
            <w:kern w:val="0"/>
            <w:sz w:val="20"/>
            <w:szCs w:val="20"/>
            <w:lang w:val="es-419" w:eastAsia="es-MX"/>
            <w14:ligatures w14:val="none"/>
          </w:rPr>
          <m:t>N</m:t>
        </m:r>
        <m:r>
          <w:rPr>
            <w:rFonts w:ascii="Cambria Math" w:eastAsia="Times New Roman" w:hAnsi="Cambria Math" w:cs="Calibri"/>
            <w:color w:val="000000"/>
            <w:kern w:val="0"/>
            <w:sz w:val="20"/>
            <w:szCs w:val="20"/>
            <w:vertAlign w:val="subscript"/>
            <w:lang w:val="es-419" w:eastAsia="es-MX"/>
            <w14:ligatures w14:val="none"/>
          </w:rPr>
          <m:t>g</m:t>
        </m:r>
        <m:r>
          <w:rPr>
            <w:rFonts w:ascii="Cambria Math" w:eastAsia="Times New Roman" w:hAnsi="Cambria Math" w:cs="Calibri"/>
            <w:color w:val="000000"/>
            <w:kern w:val="0"/>
            <w:sz w:val="20"/>
            <w:szCs w:val="20"/>
            <w:vertAlign w:val="subscript"/>
            <w:lang w:eastAsia="es-MX"/>
            <w14:ligatures w14:val="none"/>
          </w:rPr>
          <m:t>2</m:t>
        </m:r>
        <m:r>
          <w:rPr>
            <w:rFonts w:ascii="Cambria Math" w:eastAsia="Times New Roman" w:hAnsi="Cambria Math" w:cs="Calibri"/>
            <w:color w:val="000000"/>
            <w:kern w:val="0"/>
            <w:sz w:val="20"/>
            <w:szCs w:val="20"/>
            <w:vertAlign w:val="subscript"/>
            <w:lang w:val="es-419" w:eastAsia="es-MX"/>
            <w14:ligatures w14:val="none"/>
          </w:rPr>
          <m:t>''</m:t>
        </m:r>
      </m:oMath>
      <w:r w:rsidRPr="0084581F">
        <w:rPr>
          <w:rFonts w:ascii="Calibri" w:eastAsia="Times New Roman" w:hAnsi="Calibri" w:cs="Calibri"/>
          <w:i/>
          <w:iCs/>
          <w:color w:val="000000"/>
          <w:kern w:val="0"/>
          <w:sz w:val="20"/>
          <w:szCs w:val="20"/>
          <w:lang w:val="es-419" w:eastAsia="es-MX"/>
          <w14:ligatures w14:val="none"/>
        </w:rPr>
        <w:t xml:space="preserve"> : </w:t>
      </w:r>
      <w:r w:rsidRPr="00120E6C">
        <w:rPr>
          <w:rFonts w:ascii="Calibri" w:eastAsia="Times New Roman" w:hAnsi="Calibri" w:cs="Calibri"/>
          <w:color w:val="000000"/>
          <w:kern w:val="0"/>
          <w:sz w:val="20"/>
          <w:szCs w:val="20"/>
          <w:lang w:val="es-419" w:eastAsia="es-MX"/>
          <w14:ligatures w14:val="none"/>
        </w:rPr>
        <w:t>Total de unidades sin información e incompletas, y que no fueron imputadas,</w:t>
      </w:r>
    </w:p>
    <w:p w14:paraId="64773231" w14:textId="677905FC" w:rsidR="0084581F" w:rsidRPr="0084581F" w:rsidRDefault="00000000" w:rsidP="0084581F">
      <w:pPr>
        <w:pStyle w:val="Prrafodelista"/>
        <w:spacing w:after="0" w:line="240" w:lineRule="auto"/>
        <w:ind w:left="1560"/>
        <w:rPr>
          <w:rFonts w:ascii="Calibri" w:eastAsia="Times New Roman" w:hAnsi="Calibri" w:cs="Calibri"/>
          <w:color w:val="000000"/>
          <w:kern w:val="0"/>
          <w:sz w:val="20"/>
          <w:szCs w:val="20"/>
          <w:lang w:eastAsia="es-MX"/>
          <w14:ligatures w14:val="none"/>
        </w:rPr>
      </w:pP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N</m:t>
            </m:r>
          </m:e>
          <m:sub>
            <m:r>
              <w:rPr>
                <w:rFonts w:ascii="Cambria Math" w:eastAsia="Times New Roman" w:hAnsi="Cambria Math" w:cs="Calibri"/>
                <w:color w:val="000000"/>
                <w:kern w:val="0"/>
                <w:sz w:val="20"/>
                <w:szCs w:val="20"/>
                <w:lang w:eastAsia="es-MX"/>
                <w14:ligatures w14:val="none"/>
              </w:rPr>
              <m:t>g2</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N</m:t>
            </m:r>
          </m:e>
          <m:sub>
            <m:r>
              <w:rPr>
                <w:rFonts w:ascii="Cambria Math" w:eastAsia="Times New Roman" w:hAnsi="Cambria Math" w:cs="Calibri"/>
                <w:color w:val="000000"/>
                <w:kern w:val="0"/>
                <w:sz w:val="20"/>
                <w:szCs w:val="20"/>
                <w:lang w:eastAsia="es-MX"/>
                <w14:ligatures w14:val="none"/>
              </w:rPr>
              <m:t>g2´</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N</m:t>
            </m:r>
          </m:e>
          <m:sub>
            <m:r>
              <w:rPr>
                <w:rFonts w:ascii="Cambria Math" w:eastAsia="Times New Roman" w:hAnsi="Cambria Math" w:cs="Calibri"/>
                <w:color w:val="000000"/>
                <w:kern w:val="0"/>
                <w:sz w:val="20"/>
                <w:szCs w:val="20"/>
                <w:lang w:eastAsia="es-MX"/>
                <w14:ligatures w14:val="none"/>
              </w:rPr>
              <m:t>g2´´</m:t>
            </m:r>
          </m:sub>
        </m:sSub>
      </m:oMath>
      <w:r w:rsidR="0084581F" w:rsidRPr="0084581F">
        <w:rPr>
          <w:rFonts w:ascii="Calibri" w:eastAsia="Times New Roman" w:hAnsi="Calibri" w:cs="Calibri"/>
          <w:i/>
          <w:iCs/>
          <w:color w:val="000000"/>
          <w:kern w:val="0"/>
          <w:sz w:val="20"/>
          <w:szCs w:val="20"/>
          <w:lang w:eastAsia="es-MX"/>
          <w14:ligatures w14:val="none"/>
        </w:rPr>
        <w:t>.</w:t>
      </w:r>
    </w:p>
    <w:p w14:paraId="4BCD7D0F" w14:textId="43E2164D" w:rsidR="0084581F" w:rsidRPr="00120E6C" w:rsidRDefault="00000000" w:rsidP="0084581F">
      <w:pPr>
        <w:pStyle w:val="Prrafodelista"/>
        <w:spacing w:after="0" w:line="240" w:lineRule="auto"/>
        <w:ind w:left="851"/>
        <w:rPr>
          <w:rFonts w:ascii="Calibri" w:eastAsia="Times New Roman" w:hAnsi="Calibri" w:cs="Calibri"/>
          <w:color w:val="000000"/>
          <w:kern w:val="0"/>
          <w:sz w:val="20"/>
          <w:szCs w:val="20"/>
          <w:lang w:eastAsia="es-MX"/>
          <w14:ligatures w14:val="none"/>
        </w:rPr>
      </w:pP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g</m:t>
            </m:r>
          </m:sub>
        </m:sSub>
      </m:oMath>
      <w:r w:rsidR="0084581F" w:rsidRPr="0084581F">
        <w:rPr>
          <w:rFonts w:ascii="Calibri" w:eastAsia="Times New Roman" w:hAnsi="Calibri" w:cs="Calibri"/>
          <w:i/>
          <w:iCs/>
          <w:color w:val="000000"/>
          <w:kern w:val="0"/>
          <w:sz w:val="20"/>
          <w:szCs w:val="20"/>
          <w:lang w:val="es-419" w:eastAsia="es-MX"/>
          <w14:ligatures w14:val="none"/>
        </w:rPr>
        <w:t xml:space="preserve">: </w:t>
      </w:r>
      <w:r w:rsidR="0084581F" w:rsidRPr="00120E6C">
        <w:rPr>
          <w:rFonts w:ascii="Calibri" w:eastAsia="Times New Roman" w:hAnsi="Calibri" w:cs="Calibri"/>
          <w:color w:val="000000"/>
          <w:kern w:val="0"/>
          <w:sz w:val="20"/>
          <w:szCs w:val="20"/>
          <w:lang w:val="es-419" w:eastAsia="es-MX"/>
          <w14:ligatures w14:val="none"/>
        </w:rPr>
        <w:t xml:space="preserve">Todas las unidades de observación en donde se intentó recabar la información, </w:t>
      </w:r>
    </w:p>
    <w:p w14:paraId="25437A93" w14:textId="3EDC143B" w:rsidR="0084581F" w:rsidRPr="0084581F" w:rsidRDefault="0084581F" w:rsidP="0084581F">
      <w:pPr>
        <w:pStyle w:val="Prrafodelista"/>
        <w:spacing w:after="0" w:line="240" w:lineRule="auto"/>
        <w:ind w:left="851"/>
        <w:rPr>
          <w:rFonts w:ascii="Calibri" w:eastAsia="Times New Roman" w:hAnsi="Calibri" w:cs="Calibri"/>
          <w:color w:val="000000"/>
          <w:kern w:val="0"/>
          <w:sz w:val="20"/>
          <w:szCs w:val="20"/>
          <w:lang w:eastAsia="es-MX"/>
          <w14:ligatures w14:val="none"/>
        </w:rPr>
      </w:pPr>
      <m:oMath>
        <m:r>
          <w:rPr>
            <w:rFonts w:ascii="Cambria Math" w:eastAsia="Times New Roman" w:hAnsi="Cambria Math" w:cs="Calibri"/>
            <w:color w:val="000000"/>
            <w:kern w:val="0"/>
            <w:sz w:val="20"/>
            <w:szCs w:val="20"/>
            <w:lang w:val="es-419" w:eastAsia="es-MX"/>
            <w14:ligatures w14:val="none"/>
          </w:rPr>
          <m:t>N</m:t>
        </m:r>
        <m:r>
          <w:rPr>
            <w:rFonts w:ascii="Cambria Math" w:eastAsia="Times New Roman" w:hAnsi="Cambria Math" w:cs="Calibri"/>
            <w:color w:val="000000"/>
            <w:kern w:val="0"/>
            <w:sz w:val="20"/>
            <w:szCs w:val="20"/>
            <w:vertAlign w:val="subscript"/>
            <w:lang w:val="es-419" w:eastAsia="es-MX"/>
            <w14:ligatures w14:val="none"/>
          </w:rPr>
          <m:t>g</m:t>
        </m:r>
        <m:r>
          <w:rPr>
            <w:rFonts w:ascii="Cambria Math" w:eastAsia="Times New Roman" w:hAnsi="Cambria Math" w:cs="Calibri"/>
            <w:color w:val="000000"/>
            <w:kern w:val="0"/>
            <w:sz w:val="20"/>
            <w:szCs w:val="20"/>
            <w:lang w:val="es-419" w:eastAsia="es-MX"/>
            <w14:ligatures w14:val="none"/>
          </w:rPr>
          <m:t> = Ng</m:t>
        </m:r>
        <m:r>
          <w:rPr>
            <w:rFonts w:ascii="Cambria Math" w:eastAsia="Times New Roman" w:hAnsi="Cambria Math" w:cs="Calibri"/>
            <w:color w:val="000000"/>
            <w:kern w:val="0"/>
            <w:sz w:val="20"/>
            <w:szCs w:val="20"/>
            <w:vertAlign w:val="subscript"/>
            <w:lang w:val="es-419" w:eastAsia="es-MX"/>
            <w14:ligatures w14:val="none"/>
          </w:rPr>
          <m:t>1</m:t>
        </m:r>
        <m:r>
          <w:rPr>
            <w:rFonts w:ascii="Cambria Math" w:eastAsia="Times New Roman" w:hAnsi="Cambria Math" w:cs="Calibri"/>
            <w:color w:val="000000"/>
            <w:kern w:val="0"/>
            <w:sz w:val="20"/>
            <w:szCs w:val="20"/>
            <w:lang w:eastAsia="es-MX"/>
            <w14:ligatures w14:val="none"/>
          </w:rPr>
          <m:t>+Ng</m:t>
        </m:r>
        <m:sSup>
          <m:sSupPr>
            <m:ctrlPr>
              <w:rPr>
                <w:rFonts w:ascii="Cambria Math" w:eastAsia="Times New Roman" w:hAnsi="Cambria Math" w:cs="Calibri"/>
                <w:i/>
                <w:iCs/>
                <w:color w:val="000000"/>
                <w:kern w:val="0"/>
                <w:sz w:val="20"/>
                <w:szCs w:val="20"/>
                <w:vertAlign w:val="subscript"/>
                <w:lang w:val="es-419" w:eastAsia="es-MX"/>
                <w14:ligatures w14:val="none"/>
              </w:rPr>
            </m:ctrlPr>
          </m:sSupPr>
          <m:e>
            <m:r>
              <w:rPr>
                <w:rFonts w:ascii="Cambria Math" w:eastAsia="Times New Roman" w:hAnsi="Cambria Math" w:cs="Calibri"/>
                <w:color w:val="000000"/>
                <w:kern w:val="0"/>
                <w:sz w:val="20"/>
                <w:szCs w:val="20"/>
                <w:vertAlign w:val="subscript"/>
                <w:lang w:val="es-419" w:eastAsia="es-MX"/>
                <w14:ligatures w14:val="none"/>
              </w:rPr>
              <m:t>2</m:t>
            </m:r>
          </m:e>
          <m:sup>
            <m:r>
              <w:rPr>
                <w:rFonts w:ascii="Cambria Math" w:eastAsia="Times New Roman" w:hAnsi="Cambria Math" w:cs="Calibri"/>
                <w:color w:val="000000"/>
                <w:kern w:val="0"/>
                <w:sz w:val="20"/>
                <w:szCs w:val="20"/>
                <w:vertAlign w:val="subscript"/>
                <w:lang w:val="es-419" w:eastAsia="es-MX"/>
                <w14:ligatures w14:val="none"/>
              </w:rPr>
              <m:t>'</m:t>
            </m:r>
          </m:sup>
        </m:sSup>
        <m:r>
          <w:rPr>
            <w:rFonts w:ascii="Cambria Math" w:eastAsia="Times New Roman" w:hAnsi="Cambria Math" w:cs="Calibri"/>
            <w:color w:val="000000"/>
            <w:kern w:val="0"/>
            <w:sz w:val="20"/>
            <w:szCs w:val="20"/>
            <w:lang w:eastAsia="es-MX"/>
            <w14:ligatures w14:val="none"/>
          </w:rPr>
          <m:t>+Ng</m:t>
        </m:r>
        <m:sSup>
          <m:sSupPr>
            <m:ctrlPr>
              <w:rPr>
                <w:rFonts w:ascii="Cambria Math" w:eastAsia="Times New Roman" w:hAnsi="Cambria Math" w:cs="Calibri"/>
                <w:i/>
                <w:iCs/>
                <w:color w:val="000000"/>
                <w:kern w:val="0"/>
                <w:sz w:val="20"/>
                <w:szCs w:val="20"/>
                <w:vertAlign w:val="subscript"/>
                <w:lang w:val="es-419" w:eastAsia="es-MX"/>
                <w14:ligatures w14:val="none"/>
              </w:rPr>
            </m:ctrlPr>
          </m:sSupPr>
          <m:e>
            <m:r>
              <w:rPr>
                <w:rFonts w:ascii="Cambria Math" w:eastAsia="Times New Roman" w:hAnsi="Cambria Math" w:cs="Calibri"/>
                <w:color w:val="000000"/>
                <w:kern w:val="0"/>
                <w:sz w:val="20"/>
                <w:szCs w:val="20"/>
                <w:vertAlign w:val="subscript"/>
                <w:lang w:val="es-419" w:eastAsia="es-MX"/>
                <w14:ligatures w14:val="none"/>
              </w:rPr>
              <m:t>2</m:t>
            </m:r>
          </m:e>
          <m:sup>
            <m:r>
              <w:rPr>
                <w:rFonts w:ascii="Cambria Math" w:eastAsia="Times New Roman" w:hAnsi="Cambria Math" w:cs="Calibri"/>
                <w:color w:val="000000"/>
                <w:kern w:val="0"/>
                <w:sz w:val="20"/>
                <w:szCs w:val="20"/>
                <w:vertAlign w:val="subscript"/>
                <w:lang w:val="es-419" w:eastAsia="es-MX"/>
                <w14:ligatures w14:val="none"/>
              </w:rPr>
              <m:t>''</m:t>
            </m:r>
          </m:sup>
        </m:sSup>
      </m:oMath>
      <w:r w:rsidRPr="0084581F">
        <w:rPr>
          <w:rFonts w:ascii="Calibri" w:eastAsia="Times New Roman" w:hAnsi="Calibri" w:cs="Calibri"/>
          <w:i/>
          <w:iCs/>
          <w:color w:val="000000"/>
          <w:kern w:val="0"/>
          <w:sz w:val="20"/>
          <w:szCs w:val="20"/>
          <w:lang w:val="es-419" w:eastAsia="es-MX"/>
          <w14:ligatures w14:val="none"/>
        </w:rPr>
        <w:t>.</w:t>
      </w:r>
    </w:p>
    <w:p w14:paraId="5D8EA7B6" w14:textId="77777777" w:rsidR="0084581F" w:rsidRDefault="0084581F" w:rsidP="0084581F">
      <w:pPr>
        <w:pStyle w:val="Prrafodelista"/>
        <w:spacing w:after="0" w:line="240" w:lineRule="auto"/>
        <w:ind w:left="360"/>
        <w:rPr>
          <w:rFonts w:ascii="Calibri" w:eastAsia="Times New Roman" w:hAnsi="Calibri" w:cs="Calibri"/>
          <w:i/>
          <w:iCs/>
          <w:color w:val="000000"/>
          <w:kern w:val="0"/>
          <w:sz w:val="20"/>
          <w:szCs w:val="20"/>
          <w:lang w:val="es-419" w:eastAsia="es-MX"/>
          <w14:ligatures w14:val="none"/>
        </w:rPr>
      </w:pPr>
    </w:p>
    <w:p w14:paraId="28C20FE1" w14:textId="771AE34B" w:rsidR="0084581F" w:rsidRPr="00120E6C" w:rsidRDefault="0084581F" w:rsidP="0084581F">
      <w:pPr>
        <w:pStyle w:val="Prrafodelista"/>
        <w:spacing w:after="0" w:line="240" w:lineRule="auto"/>
        <w:ind w:left="360"/>
        <w:rPr>
          <w:rFonts w:ascii="Calibri" w:eastAsia="Times New Roman" w:hAnsi="Calibri" w:cs="Calibri"/>
          <w:color w:val="000000"/>
          <w:kern w:val="0"/>
          <w:sz w:val="20"/>
          <w:szCs w:val="20"/>
          <w:lang w:eastAsia="es-MX"/>
          <w14:ligatures w14:val="none"/>
        </w:rPr>
      </w:pPr>
      <w:r w:rsidRPr="00120E6C">
        <w:rPr>
          <w:rFonts w:ascii="Calibri" w:eastAsia="Times New Roman" w:hAnsi="Calibri" w:cs="Calibri"/>
          <w:color w:val="000000"/>
          <w:kern w:val="0"/>
          <w:sz w:val="20"/>
          <w:szCs w:val="20"/>
          <w:lang w:val="es-419" w:eastAsia="es-MX"/>
          <w14:ligatures w14:val="none"/>
        </w:rPr>
        <w:t>La tasa de no respuesta después de imputación a nivel unidad de observación, para el nivel de agregación</w:t>
      </w:r>
      <w:r w:rsidRPr="0084581F">
        <w:rPr>
          <w:rFonts w:ascii="Calibri" w:eastAsia="Times New Roman" w:hAnsi="Calibri" w:cs="Calibri"/>
          <w:i/>
          <w:iCs/>
          <w:color w:val="000000"/>
          <w:kern w:val="0"/>
          <w:sz w:val="20"/>
          <w:szCs w:val="20"/>
          <w:lang w:val="es-419" w:eastAsia="es-MX"/>
          <w14:ligatures w14:val="none"/>
        </w:rPr>
        <w:t xml:space="preserve"> </w:t>
      </w:r>
      <m:oMath>
        <m:r>
          <w:rPr>
            <w:rFonts w:ascii="Cambria Math" w:eastAsia="Times New Roman" w:hAnsi="Cambria Math" w:cs="Calibri"/>
            <w:color w:val="000000"/>
            <w:kern w:val="0"/>
            <w:sz w:val="20"/>
            <w:szCs w:val="20"/>
            <w:lang w:val="es-419" w:eastAsia="es-MX"/>
            <w14:ligatures w14:val="none"/>
          </w:rPr>
          <m:t>g</m:t>
        </m:r>
      </m:oMath>
      <w:r w:rsidRPr="0084581F">
        <w:rPr>
          <w:rFonts w:ascii="Calibri" w:eastAsia="Times New Roman" w:hAnsi="Calibri" w:cs="Calibri"/>
          <w:i/>
          <w:iCs/>
          <w:color w:val="000000"/>
          <w:kern w:val="0"/>
          <w:sz w:val="20"/>
          <w:szCs w:val="20"/>
          <w:lang w:val="es-419" w:eastAsia="es-MX"/>
          <w14:ligatures w14:val="none"/>
        </w:rPr>
        <w:t xml:space="preserve"> </w:t>
      </w:r>
      <w:r w:rsidRPr="00120E6C">
        <w:rPr>
          <w:rFonts w:ascii="Calibri" w:eastAsia="Times New Roman" w:hAnsi="Calibri" w:cs="Calibri"/>
          <w:color w:val="000000"/>
          <w:kern w:val="0"/>
          <w:sz w:val="20"/>
          <w:szCs w:val="20"/>
          <w:lang w:val="es-419" w:eastAsia="es-MX"/>
          <w14:ligatures w14:val="none"/>
        </w:rPr>
        <w:t>se define como:</w:t>
      </w:r>
    </w:p>
    <w:p w14:paraId="37E7E03D" w14:textId="2CAF9EE3" w:rsidR="0084581F" w:rsidRPr="0084581F" w:rsidRDefault="00000000" w:rsidP="0084581F">
      <w:pPr>
        <w:pStyle w:val="Prrafodelista"/>
        <w:spacing w:after="0" w:line="240" w:lineRule="auto"/>
        <w:ind w:left="360"/>
        <w:rPr>
          <w:rFonts w:ascii="Calibri" w:eastAsia="Times New Roman" w:hAnsi="Calibri" w:cs="Calibri"/>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eastAsia="es-MX"/>
                  <w14:ligatures w14:val="none"/>
                </w:rPr>
                <m:t>TNRU_DI</m:t>
              </m:r>
            </m:e>
            <m:sub>
              <m:r>
                <w:rPr>
                  <w:rFonts w:ascii="Cambria Math" w:eastAsia="Times New Roman" w:hAnsi="Cambria Math" w:cs="Calibri"/>
                  <w:color w:val="000000"/>
                  <w:kern w:val="0"/>
                  <w:sz w:val="20"/>
                  <w:szCs w:val="20"/>
                  <w:lang w:eastAsia="es-MX"/>
                  <w14:ligatures w14:val="none"/>
                </w:rPr>
                <m:t>g</m:t>
              </m:r>
            </m:sub>
          </m:sSub>
          <m:r>
            <w:rPr>
              <w:rFonts w:ascii="Cambria Math" w:eastAsia="Times New Roman" w:hAnsi="Cambria Math" w:cs="Calibri"/>
              <w:color w:val="000000"/>
              <w:kern w:val="0"/>
              <w:sz w:val="20"/>
              <w:szCs w:val="20"/>
              <w:lang w:eastAsia="es-MX"/>
              <w14:ligatures w14:val="none"/>
            </w:rPr>
            <m:t>=</m:t>
          </m:r>
          <m:f>
            <m:fPr>
              <m:ctrlPr>
                <w:rPr>
                  <w:rFonts w:ascii="Cambria Math" w:eastAsia="Times New Roman" w:hAnsi="Cambria Math" w:cs="Calibri"/>
                  <w:i/>
                  <w:iCs/>
                  <w:color w:val="000000"/>
                  <w:kern w:val="0"/>
                  <w:sz w:val="20"/>
                  <w:szCs w:val="20"/>
                  <w:lang w:eastAsia="es-MX"/>
                  <w14:ligatures w14:val="none"/>
                </w:rPr>
              </m:ctrlPr>
            </m:fPr>
            <m:num>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N</m:t>
                  </m:r>
                </m:e>
                <m:sub>
                  <m:r>
                    <w:rPr>
                      <w:rFonts w:ascii="Cambria Math" w:eastAsia="Times New Roman" w:hAnsi="Cambria Math" w:cs="Calibri"/>
                      <w:color w:val="000000"/>
                      <w:kern w:val="0"/>
                      <w:sz w:val="20"/>
                      <w:szCs w:val="20"/>
                      <w:lang w:eastAsia="es-MX"/>
                      <w14:ligatures w14:val="none"/>
                    </w:rPr>
                    <m:t>g2</m:t>
                  </m:r>
                </m:sub>
              </m:sSub>
              <m:r>
                <w:rPr>
                  <w:rFonts w:ascii="Cambria Math" w:eastAsia="Times New Roman" w:hAnsi="Cambria Math" w:cs="Calibri"/>
                  <w:color w:val="000000"/>
                  <w:kern w:val="0"/>
                  <w:sz w:val="20"/>
                  <w:szCs w:val="20"/>
                  <w:lang w:eastAsia="es-MX"/>
                  <w14:ligatures w14:val="none"/>
                </w:rPr>
                <m:t>´´</m:t>
              </m:r>
            </m:num>
            <m:den>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N</m:t>
                  </m:r>
                </m:e>
                <m:sub>
                  <m:r>
                    <w:rPr>
                      <w:rFonts w:ascii="Cambria Math" w:eastAsia="Times New Roman" w:hAnsi="Cambria Math" w:cs="Calibri"/>
                      <w:color w:val="000000"/>
                      <w:kern w:val="0"/>
                      <w:sz w:val="20"/>
                      <w:szCs w:val="20"/>
                      <w:lang w:eastAsia="es-MX"/>
                      <w14:ligatures w14:val="none"/>
                    </w:rPr>
                    <m:t>g</m:t>
                  </m:r>
                </m:sub>
              </m:sSub>
            </m:den>
          </m:f>
          <m:r>
            <w:rPr>
              <w:rFonts w:ascii="Cambria Math" w:eastAsia="Times New Roman" w:hAnsi="Cambria Math" w:cs="Calibri"/>
              <w:color w:val="000000"/>
              <w:kern w:val="0"/>
              <w:sz w:val="20"/>
              <w:szCs w:val="20"/>
              <w:lang w:eastAsia="es-MX"/>
              <w14:ligatures w14:val="none"/>
            </w:rPr>
            <m:t> ×100</m:t>
          </m:r>
        </m:oMath>
      </m:oMathPara>
    </w:p>
    <w:p w14:paraId="2A073F7D"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7F4E67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94F7B42" w14:textId="568F38A8" w:rsidR="00705EC1" w:rsidRPr="00DE2869" w:rsidRDefault="0084581F" w:rsidP="0084581F">
      <w:pPr>
        <w:ind w:left="426"/>
        <w:rPr>
          <w:rFonts w:ascii="Calibri" w:eastAsia="Times New Roman" w:hAnsi="Calibri" w:cs="Calibri"/>
          <w:kern w:val="0"/>
          <w:sz w:val="20"/>
          <w:szCs w:val="20"/>
          <w:lang w:eastAsia="es-MX"/>
          <w14:ligatures w14:val="none"/>
        </w:rPr>
      </w:pPr>
      <w:r w:rsidRPr="0084581F">
        <w:rPr>
          <w:rFonts w:ascii="Calibri" w:eastAsia="Times New Roman" w:hAnsi="Calibri" w:cs="Calibri"/>
          <w:sz w:val="20"/>
          <w:szCs w:val="20"/>
        </w:rPr>
        <w:t xml:space="preserve">Todos los datos se obtienen de las especificaciones del </w:t>
      </w:r>
      <w:r w:rsidR="002C45D4">
        <w:rPr>
          <w:rFonts w:ascii="Calibri" w:eastAsia="Times New Roman" w:hAnsi="Calibri" w:cs="Calibri"/>
          <w:sz w:val="20"/>
          <w:szCs w:val="20"/>
        </w:rPr>
        <w:t>p</w:t>
      </w:r>
      <w:r w:rsidRPr="0084581F">
        <w:rPr>
          <w:rFonts w:ascii="Calibri" w:eastAsia="Times New Roman" w:hAnsi="Calibri" w:cs="Calibri"/>
          <w:sz w:val="20"/>
          <w:szCs w:val="20"/>
        </w:rPr>
        <w:t>ro</w:t>
      </w:r>
      <w:r>
        <w:rPr>
          <w:rFonts w:ascii="Calibri" w:eastAsia="Times New Roman" w:hAnsi="Calibri" w:cs="Calibri"/>
          <w:sz w:val="20"/>
          <w:szCs w:val="20"/>
        </w:rPr>
        <w:t xml:space="preserve">ceso de </w:t>
      </w:r>
      <w:r w:rsidR="002C45D4">
        <w:rPr>
          <w:rFonts w:ascii="Calibri" w:eastAsia="Times New Roman" w:hAnsi="Calibri" w:cs="Calibri"/>
          <w:sz w:val="20"/>
          <w:szCs w:val="20"/>
        </w:rPr>
        <w:t>p</w:t>
      </w:r>
      <w:r>
        <w:rPr>
          <w:rFonts w:ascii="Calibri" w:eastAsia="Times New Roman" w:hAnsi="Calibri" w:cs="Calibri"/>
          <w:sz w:val="20"/>
          <w:szCs w:val="20"/>
        </w:rPr>
        <w:t>roducción.</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0981E9A4" w:rsidR="00294AE7" w:rsidRDefault="0084581F" w:rsidP="00120E6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84581F">
        <w:rPr>
          <w:rFonts w:ascii="Calibri" w:eastAsia="Times New Roman" w:hAnsi="Calibri" w:cs="Calibri"/>
          <w:color w:val="000000"/>
          <w:kern w:val="0"/>
          <w:sz w:val="20"/>
          <w:szCs w:val="20"/>
          <w:lang w:eastAsia="es-MX"/>
          <w14:ligatures w14:val="none"/>
        </w:rPr>
        <w:t>Las desagregaciones o agrupaciones sobre las cuales se calculará el indicador se definirán para cada pro</w:t>
      </w:r>
      <w:r>
        <w:rPr>
          <w:rFonts w:ascii="Calibri" w:eastAsia="Times New Roman" w:hAnsi="Calibri" w:cs="Calibri"/>
          <w:color w:val="000000"/>
          <w:kern w:val="0"/>
          <w:sz w:val="20"/>
          <w:szCs w:val="20"/>
          <w:lang w:eastAsia="es-MX"/>
          <w14:ligatures w14:val="none"/>
        </w:rPr>
        <w:t>ceso de producción en</w:t>
      </w:r>
      <w:r w:rsidRPr="0084581F">
        <w:rPr>
          <w:rFonts w:ascii="Calibri" w:eastAsia="Times New Roman" w:hAnsi="Calibri" w:cs="Calibri"/>
          <w:color w:val="000000"/>
          <w:kern w:val="0"/>
          <w:sz w:val="20"/>
          <w:szCs w:val="20"/>
          <w:lang w:eastAsia="es-MX"/>
          <w14:ligatures w14:val="none"/>
        </w:rPr>
        <w:t xml:space="preserve"> particular, pero al menos deben estar presentes los principales dominios de estudio.</w:t>
      </w:r>
    </w:p>
    <w:p w14:paraId="5E1B39CB" w14:textId="77777777" w:rsidR="00DE2869" w:rsidRDefault="00DE2869" w:rsidP="00120E6C">
      <w:pPr>
        <w:pStyle w:val="Prrafodelista"/>
        <w:spacing w:after="0" w:line="240" w:lineRule="auto"/>
        <w:ind w:left="426"/>
        <w:jc w:val="both"/>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6D1953F9" w14:textId="2A9AA392" w:rsidR="0084581F" w:rsidRDefault="0084581F" w:rsidP="0084581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120E6C">
        <w:rPr>
          <w:rFonts w:ascii="Calibri" w:eastAsia="Times New Roman" w:hAnsi="Calibri" w:cs="Calibri"/>
          <w:color w:val="000000"/>
          <w:kern w:val="0"/>
          <w:sz w:val="20"/>
          <w:szCs w:val="20"/>
          <w:lang w:eastAsia="es-MX"/>
          <w14:ligatures w14:val="none"/>
        </w:rPr>
        <w:t>La tasa de no respuesta después de imputación a nivel unidad de observación es el cociente entre el número de unidades en donde, después de aplicar métodos de imputación, se mantiene su condición de unidad sin información o incompleta y el total de las unidades en el universo censal en donde se intentó recabar la información. El numerador también se puede describir como el número de unidades en donde no se pudo obtener información alguna o que no cuentan con información completa para las variables principales objetivo del levantamiento y que no fueron imputadas.</w:t>
      </w:r>
    </w:p>
    <w:p w14:paraId="3C931ED9" w14:textId="77777777" w:rsidR="0084581F" w:rsidRDefault="0084581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4104E63A" w14:textId="77777777" w:rsidR="0084581F" w:rsidRPr="0084581F" w:rsidRDefault="0084581F" w:rsidP="0084581F">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84581F">
        <w:rPr>
          <w:rFonts w:ascii="Calibri" w:eastAsia="Times New Roman" w:hAnsi="Calibri" w:cs="Calibri"/>
          <w:color w:val="000000"/>
          <w:kern w:val="0"/>
          <w:sz w:val="20"/>
          <w:szCs w:val="20"/>
          <w:lang w:eastAsia="es-MX"/>
          <w14:ligatures w14:val="none"/>
        </w:rPr>
        <w:t xml:space="preserve">El indicador se deberá publicar junto con los siguientes aspectos: </w:t>
      </w:r>
    </w:p>
    <w:p w14:paraId="74012652" w14:textId="78282B51" w:rsidR="0084581F" w:rsidRPr="0084581F" w:rsidRDefault="0084581F" w:rsidP="0084581F">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84581F">
        <w:rPr>
          <w:rFonts w:ascii="Calibri" w:eastAsia="Times New Roman" w:hAnsi="Calibri" w:cs="Calibri"/>
          <w:color w:val="000000"/>
          <w:kern w:val="0"/>
          <w:sz w:val="20"/>
          <w:szCs w:val="20"/>
          <w:lang w:eastAsia="es-MX"/>
          <w14:ligatures w14:val="none"/>
        </w:rPr>
        <w:t>i) La unidad de observación sobre la cual se realizó el cálculo del porcentaje de no respuesta.</w:t>
      </w:r>
    </w:p>
    <w:p w14:paraId="2B2AF3F5" w14:textId="3812B464" w:rsidR="00DE2869" w:rsidRDefault="0084581F" w:rsidP="0084581F">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84581F">
        <w:rPr>
          <w:rFonts w:ascii="Calibri" w:eastAsia="Times New Roman" w:hAnsi="Calibri" w:cs="Calibri"/>
          <w:color w:val="000000"/>
          <w:kern w:val="0"/>
          <w:sz w:val="20"/>
          <w:szCs w:val="20"/>
          <w:lang w:eastAsia="es-MX"/>
          <w14:ligatures w14:val="none"/>
        </w:rPr>
        <w:t>ii) Las desagregaciones sobre las cuales se calculó el indicador (principales dominios de estudio).</w:t>
      </w:r>
    </w:p>
    <w:p w14:paraId="0CB2097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574DD53A" w14:textId="46687082" w:rsidR="00100E12" w:rsidRDefault="0084581F"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84581F">
        <w:rPr>
          <w:rFonts w:ascii="Calibri" w:eastAsia="Times New Roman" w:hAnsi="Calibri" w:cs="Calibri"/>
          <w:color w:val="000000"/>
          <w:kern w:val="0"/>
          <w:sz w:val="20"/>
          <w:szCs w:val="20"/>
          <w:lang w:eastAsia="es-MX"/>
          <w14:ligatures w14:val="none"/>
        </w:rPr>
        <w:t>No se adopta un valor de referencia, sin embargo, valores altos implican una revisión de los insumos.</w:t>
      </w:r>
    </w:p>
    <w:p w14:paraId="53D9B5D3"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sectPr w:rsidR="00951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024"/>
    <w:multiLevelType w:val="hybridMultilevel"/>
    <w:tmpl w:val="2558FBC8"/>
    <w:lvl w:ilvl="0" w:tplc="ABE03F4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1"/>
  </w:num>
  <w:num w:numId="3" w16cid:durableId="222571677">
    <w:abstractNumId w:val="3"/>
  </w:num>
  <w:num w:numId="4" w16cid:durableId="2024285873">
    <w:abstractNumId w:val="0"/>
  </w:num>
  <w:num w:numId="5" w16cid:durableId="674309550">
    <w:abstractNumId w:val="1"/>
  </w:num>
  <w:num w:numId="6" w16cid:durableId="1151366441">
    <w:abstractNumId w:val="10"/>
  </w:num>
  <w:num w:numId="7" w16cid:durableId="1373924067">
    <w:abstractNumId w:val="8"/>
  </w:num>
  <w:num w:numId="8" w16cid:durableId="435561208">
    <w:abstractNumId w:val="9"/>
  </w:num>
  <w:num w:numId="9" w16cid:durableId="1724983717">
    <w:abstractNumId w:val="6"/>
  </w:num>
  <w:num w:numId="10" w16cid:durableId="76486300">
    <w:abstractNumId w:val="4"/>
  </w:num>
  <w:num w:numId="11" w16cid:durableId="672757559">
    <w:abstractNumId w:val="5"/>
  </w:num>
  <w:num w:numId="12" w16cid:durableId="37994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77EC2"/>
    <w:rsid w:val="00100E12"/>
    <w:rsid w:val="00120E6C"/>
    <w:rsid w:val="00125E0E"/>
    <w:rsid w:val="00186E2E"/>
    <w:rsid w:val="00206D7D"/>
    <w:rsid w:val="00220DB0"/>
    <w:rsid w:val="00235D6E"/>
    <w:rsid w:val="002419AA"/>
    <w:rsid w:val="00294AE7"/>
    <w:rsid w:val="002C45D4"/>
    <w:rsid w:val="002F559F"/>
    <w:rsid w:val="003010BB"/>
    <w:rsid w:val="0033224A"/>
    <w:rsid w:val="00335E4E"/>
    <w:rsid w:val="003569FC"/>
    <w:rsid w:val="0042050E"/>
    <w:rsid w:val="00422CB7"/>
    <w:rsid w:val="00444B20"/>
    <w:rsid w:val="00464252"/>
    <w:rsid w:val="004836B2"/>
    <w:rsid w:val="004A0D61"/>
    <w:rsid w:val="004B32E5"/>
    <w:rsid w:val="004D2E5F"/>
    <w:rsid w:val="005D5F63"/>
    <w:rsid w:val="0061336D"/>
    <w:rsid w:val="00624EA3"/>
    <w:rsid w:val="00634AA4"/>
    <w:rsid w:val="00690384"/>
    <w:rsid w:val="006B2E16"/>
    <w:rsid w:val="00705EC1"/>
    <w:rsid w:val="00711025"/>
    <w:rsid w:val="00723301"/>
    <w:rsid w:val="007B774C"/>
    <w:rsid w:val="007D2115"/>
    <w:rsid w:val="0084581F"/>
    <w:rsid w:val="00872EB8"/>
    <w:rsid w:val="00897961"/>
    <w:rsid w:val="008C470B"/>
    <w:rsid w:val="00947989"/>
    <w:rsid w:val="009510D8"/>
    <w:rsid w:val="009546E7"/>
    <w:rsid w:val="0097395E"/>
    <w:rsid w:val="00984084"/>
    <w:rsid w:val="009935FA"/>
    <w:rsid w:val="009E6130"/>
    <w:rsid w:val="009F0312"/>
    <w:rsid w:val="009F4005"/>
    <w:rsid w:val="00A50F8D"/>
    <w:rsid w:val="00AC701E"/>
    <w:rsid w:val="00B300BA"/>
    <w:rsid w:val="00BF4A5C"/>
    <w:rsid w:val="00C00E51"/>
    <w:rsid w:val="00C26DF7"/>
    <w:rsid w:val="00CF0E84"/>
    <w:rsid w:val="00D274BD"/>
    <w:rsid w:val="00D42E7D"/>
    <w:rsid w:val="00D45BF8"/>
    <w:rsid w:val="00D468DB"/>
    <w:rsid w:val="00DE2869"/>
    <w:rsid w:val="00DF5B40"/>
    <w:rsid w:val="00E4496C"/>
    <w:rsid w:val="00E60F03"/>
    <w:rsid w:val="00EE62C9"/>
    <w:rsid w:val="00EF09AB"/>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pal.org/es/publicaciones/5515-guia-asegurar-la-calidad-datos-censales" TargetMode="External"/><Relationship Id="rId3" Type="http://schemas.openxmlformats.org/officeDocument/2006/relationships/settings" Target="settings.xml"/><Relationship Id="rId7" Type="http://schemas.openxmlformats.org/officeDocument/2006/relationships/hyperlink" Target="https://statswiki.unece.org/download/attachments/185794796/Quality%20Indicators%20for%20the%20GSBPM%20-%20For%20Statistics%20derived%20from%20Surveys%20and%20Administrative%20Data%20Sources_Final.pdf?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rostat/documents/64157/4373903/02-ESS-Quality-and-performance-Indicators-2014.pdf/5c996003-b770-4a7c-9c2f-bf733e6b1f31" TargetMode="External"/><Relationship Id="rId5" Type="http://schemas.openxmlformats.org/officeDocument/2006/relationships/hyperlink" Target="http://ec.europa.eu/eurostat/documents/3859598/6651706/KS-GQ-15-003-EN-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1637</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2</cp:revision>
  <dcterms:created xsi:type="dcterms:W3CDTF">2025-10-09T17:19:00Z</dcterms:created>
  <dcterms:modified xsi:type="dcterms:W3CDTF">2025-10-09T17:19:00Z</dcterms:modified>
</cp:coreProperties>
</file>